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FAB" w:rsidRPr="00782E6F" w:rsidRDefault="00AA2FAB" w:rsidP="00241B3A">
      <w:pPr>
        <w:widowControl w:val="0"/>
        <w:autoSpaceDE w:val="0"/>
        <w:autoSpaceDN w:val="0"/>
        <w:adjustRightInd w:val="0"/>
        <w:spacing w:after="0" w:line="240" w:lineRule="auto"/>
        <w:rPr>
          <w:rFonts w:ascii="Arial" w:hAnsi="Arial" w:cs="Arial"/>
          <w:b/>
          <w:bCs/>
          <w:sz w:val="24"/>
          <w:szCs w:val="24"/>
        </w:rPr>
      </w:pPr>
      <w:r w:rsidRPr="00782E6F">
        <w:rPr>
          <w:rFonts w:ascii="Arial" w:hAnsi="Arial" w:cs="Arial"/>
          <w:b/>
          <w:bCs/>
          <w:sz w:val="24"/>
          <w:szCs w:val="24"/>
        </w:rPr>
        <w:t xml:space="preserve">3GPP TSG RAN WG1 </w:t>
      </w:r>
      <w:r w:rsidR="00207426">
        <w:rPr>
          <w:rFonts w:ascii="Arial" w:hAnsi="Arial" w:cs="Arial"/>
          <w:b/>
          <w:bCs/>
          <w:sz w:val="24"/>
          <w:szCs w:val="24"/>
        </w:rPr>
        <w:t>Meeting #88</w:t>
      </w:r>
      <w:r w:rsidR="00C46368">
        <w:rPr>
          <w:rFonts w:ascii="Arial" w:hAnsi="Arial" w:cs="Arial"/>
          <w:b/>
          <w:bCs/>
          <w:sz w:val="24"/>
          <w:szCs w:val="24"/>
        </w:rPr>
        <w:t xml:space="preserve">              </w:t>
      </w:r>
      <w:r w:rsidR="009122F8" w:rsidRPr="00782E6F">
        <w:rPr>
          <w:rFonts w:ascii="Arial" w:hAnsi="Arial" w:cs="Arial"/>
          <w:b/>
          <w:bCs/>
          <w:sz w:val="24"/>
          <w:szCs w:val="24"/>
        </w:rPr>
        <w:t xml:space="preserve">     </w:t>
      </w:r>
      <w:r w:rsidR="00172922" w:rsidRPr="00782E6F">
        <w:rPr>
          <w:rFonts w:ascii="Arial" w:hAnsi="Arial" w:cs="Arial" w:hint="eastAsia"/>
          <w:b/>
          <w:bCs/>
          <w:sz w:val="24"/>
          <w:szCs w:val="24"/>
        </w:rPr>
        <w:t xml:space="preserve">    </w:t>
      </w:r>
      <w:r w:rsidR="009122F8" w:rsidRPr="00782E6F">
        <w:rPr>
          <w:rFonts w:ascii="Arial" w:hAnsi="Arial" w:cs="Arial"/>
          <w:b/>
          <w:bCs/>
          <w:sz w:val="24"/>
          <w:szCs w:val="24"/>
        </w:rPr>
        <w:t xml:space="preserve"> </w:t>
      </w:r>
      <w:r w:rsidR="007701CC" w:rsidRPr="00782E6F">
        <w:rPr>
          <w:rFonts w:ascii="Arial" w:hAnsi="Arial" w:cs="Arial" w:hint="eastAsia"/>
          <w:b/>
          <w:bCs/>
          <w:sz w:val="24"/>
          <w:szCs w:val="24"/>
        </w:rPr>
        <w:t xml:space="preserve"> </w:t>
      </w:r>
      <w:r w:rsidR="009122F8" w:rsidRPr="00782E6F">
        <w:rPr>
          <w:rFonts w:ascii="Arial" w:hAnsi="Arial" w:cs="Arial"/>
          <w:b/>
          <w:bCs/>
          <w:sz w:val="24"/>
          <w:szCs w:val="24"/>
        </w:rPr>
        <w:t xml:space="preserve"> </w:t>
      </w:r>
      <w:r w:rsidR="0096769B" w:rsidRPr="00782E6F">
        <w:rPr>
          <w:rFonts w:ascii="Arial" w:hAnsi="Arial" w:cs="Arial" w:hint="eastAsia"/>
          <w:b/>
          <w:bCs/>
          <w:sz w:val="24"/>
          <w:szCs w:val="24"/>
        </w:rPr>
        <w:t xml:space="preserve"> </w:t>
      </w:r>
      <w:r w:rsidR="00241B3A" w:rsidRPr="00782E6F">
        <w:rPr>
          <w:rFonts w:ascii="Arial" w:hAnsi="Arial" w:cs="Arial"/>
          <w:b/>
          <w:bCs/>
          <w:sz w:val="24"/>
          <w:szCs w:val="24"/>
        </w:rPr>
        <w:t xml:space="preserve">    </w:t>
      </w:r>
      <w:r w:rsidR="0096769B" w:rsidRPr="00782E6F">
        <w:rPr>
          <w:rFonts w:ascii="Arial" w:hAnsi="Arial" w:cs="Arial" w:hint="eastAsia"/>
          <w:b/>
          <w:bCs/>
          <w:sz w:val="24"/>
          <w:szCs w:val="24"/>
        </w:rPr>
        <w:t xml:space="preserve"> </w:t>
      </w:r>
      <w:r w:rsidR="00892D2A">
        <w:rPr>
          <w:rFonts w:ascii="Arial" w:hAnsi="Arial" w:cs="Arial" w:hint="eastAsia"/>
          <w:b/>
          <w:bCs/>
          <w:sz w:val="24"/>
          <w:szCs w:val="24"/>
        </w:rPr>
        <w:t xml:space="preserve">             </w:t>
      </w:r>
      <w:r w:rsidR="00B10EEC">
        <w:rPr>
          <w:rFonts w:ascii="Arial" w:hAnsi="Arial" w:cs="Arial" w:hint="eastAsia"/>
          <w:b/>
          <w:bCs/>
          <w:sz w:val="24"/>
          <w:szCs w:val="24"/>
        </w:rPr>
        <w:t xml:space="preserve">    </w:t>
      </w:r>
      <w:r w:rsidR="00C46368">
        <w:rPr>
          <w:rFonts w:ascii="Arial" w:hAnsi="Arial" w:cs="Arial"/>
          <w:b/>
          <w:bCs/>
          <w:sz w:val="24"/>
          <w:szCs w:val="24"/>
        </w:rPr>
        <w:t xml:space="preserve"> </w:t>
      </w:r>
      <w:r w:rsidR="00207426">
        <w:rPr>
          <w:rFonts w:ascii="Arial" w:hAnsi="Arial" w:cs="Arial"/>
          <w:b/>
          <w:bCs/>
          <w:sz w:val="24"/>
          <w:szCs w:val="24"/>
        </w:rPr>
        <w:t xml:space="preserve">            </w:t>
      </w:r>
      <w:r w:rsidRPr="00F4514D">
        <w:rPr>
          <w:rFonts w:ascii="Arial" w:hAnsi="Arial" w:cs="Arial"/>
          <w:b/>
          <w:bCs/>
          <w:sz w:val="24"/>
          <w:szCs w:val="24"/>
        </w:rPr>
        <w:t>R1-</w:t>
      </w:r>
      <w:r w:rsidR="00ED1B1A" w:rsidRPr="00F4514D">
        <w:rPr>
          <w:rFonts w:ascii="Arial" w:hAnsi="Arial" w:cs="Arial"/>
          <w:b/>
          <w:bCs/>
          <w:sz w:val="24"/>
          <w:szCs w:val="24"/>
        </w:rPr>
        <w:t>1</w:t>
      </w:r>
      <w:r w:rsidR="00ED1B1A">
        <w:rPr>
          <w:rFonts w:ascii="Arial" w:hAnsi="Arial" w:cs="Arial"/>
          <w:b/>
          <w:bCs/>
          <w:sz w:val="24"/>
          <w:szCs w:val="24"/>
        </w:rPr>
        <w:t>7</w:t>
      </w:r>
      <w:r w:rsidR="00207426">
        <w:rPr>
          <w:rFonts w:ascii="Arial" w:hAnsi="Arial" w:cs="Arial"/>
          <w:b/>
          <w:bCs/>
          <w:sz w:val="24"/>
          <w:szCs w:val="24"/>
        </w:rPr>
        <w:t>01608</w:t>
      </w:r>
    </w:p>
    <w:p w:rsidR="00AA2FAB" w:rsidRPr="00142C71" w:rsidRDefault="00093D9D" w:rsidP="00241B3A">
      <w:pPr>
        <w:pStyle w:val="Header"/>
        <w:rPr>
          <w:rFonts w:eastAsia="SimSun" w:cs="Arial"/>
          <w:sz w:val="24"/>
          <w:lang w:eastAsia="zh-CN"/>
        </w:rPr>
      </w:pPr>
      <w:r>
        <w:rPr>
          <w:rFonts w:eastAsia="SimSun" w:cs="Arial"/>
          <w:sz w:val="24"/>
          <w:lang w:eastAsia="zh-CN"/>
        </w:rPr>
        <w:t>Athens</w:t>
      </w:r>
      <w:r w:rsidR="00AA2FAB" w:rsidRPr="00782E6F">
        <w:rPr>
          <w:rFonts w:cs="Arial"/>
          <w:sz w:val="24"/>
        </w:rPr>
        <w:t xml:space="preserve">, </w:t>
      </w:r>
      <w:r>
        <w:rPr>
          <w:rFonts w:eastAsia="SimSun" w:cs="Arial"/>
          <w:sz w:val="24"/>
          <w:lang w:eastAsia="zh-CN"/>
        </w:rPr>
        <w:t>Greece</w:t>
      </w:r>
      <w:r w:rsidR="00AA2FAB" w:rsidRPr="00782E6F">
        <w:rPr>
          <w:rFonts w:cs="Arial"/>
          <w:sz w:val="24"/>
        </w:rPr>
        <w:t>,</w:t>
      </w:r>
      <w:r>
        <w:rPr>
          <w:rFonts w:cs="Arial"/>
          <w:sz w:val="24"/>
        </w:rPr>
        <w:t xml:space="preserve"> </w:t>
      </w:r>
      <w:r>
        <w:rPr>
          <w:rFonts w:eastAsia="SimSun" w:cs="Arial"/>
          <w:sz w:val="24"/>
          <w:lang w:eastAsia="zh-CN"/>
        </w:rPr>
        <w:t>13</w:t>
      </w:r>
      <w:r w:rsidR="00142C71" w:rsidRPr="00142C71">
        <w:rPr>
          <w:rFonts w:eastAsia="SimSun" w:cs="Arial"/>
          <w:sz w:val="24"/>
          <w:vertAlign w:val="superscript"/>
          <w:lang w:eastAsia="zh-CN"/>
        </w:rPr>
        <w:t>th</w:t>
      </w:r>
      <w:r w:rsidR="00CB44AE" w:rsidRPr="00782E6F">
        <w:rPr>
          <w:rFonts w:cs="Arial"/>
          <w:sz w:val="24"/>
        </w:rPr>
        <w:t xml:space="preserve"> </w:t>
      </w:r>
      <w:r w:rsidR="00142C71">
        <w:rPr>
          <w:rFonts w:cs="Arial"/>
          <w:sz w:val="24"/>
        </w:rPr>
        <w:t>–</w:t>
      </w:r>
      <w:r w:rsidR="00AA2FAB" w:rsidRPr="00782E6F">
        <w:rPr>
          <w:rFonts w:cs="Arial"/>
          <w:sz w:val="24"/>
        </w:rPr>
        <w:t xml:space="preserve"> </w:t>
      </w:r>
      <w:r>
        <w:rPr>
          <w:rFonts w:eastAsia="SimSun" w:cs="Arial"/>
          <w:sz w:val="24"/>
          <w:lang w:eastAsia="zh-CN"/>
        </w:rPr>
        <w:t>17</w:t>
      </w:r>
      <w:r w:rsidR="00ED1B1A" w:rsidRPr="00142C71">
        <w:rPr>
          <w:rFonts w:eastAsia="SimSun" w:cs="Arial"/>
          <w:sz w:val="24"/>
          <w:vertAlign w:val="superscript"/>
          <w:lang w:eastAsia="zh-CN"/>
        </w:rPr>
        <w:t>th</w:t>
      </w:r>
      <w:r w:rsidR="00ED1B1A" w:rsidRPr="00782E6F">
        <w:rPr>
          <w:rFonts w:cs="Arial"/>
          <w:sz w:val="24"/>
        </w:rPr>
        <w:t xml:space="preserve"> </w:t>
      </w:r>
      <w:r>
        <w:rPr>
          <w:rFonts w:eastAsia="SimSun" w:cs="Arial"/>
          <w:sz w:val="24"/>
          <w:lang w:eastAsia="zh-CN"/>
        </w:rPr>
        <w:t>February</w:t>
      </w:r>
      <w:r w:rsidR="00ED1B1A" w:rsidRPr="00782E6F">
        <w:rPr>
          <w:rFonts w:cs="Arial"/>
          <w:sz w:val="24"/>
        </w:rPr>
        <w:t xml:space="preserve"> </w:t>
      </w:r>
      <w:r w:rsidR="00AA2FAB" w:rsidRPr="00782E6F">
        <w:rPr>
          <w:rFonts w:cs="Arial"/>
          <w:sz w:val="24"/>
        </w:rPr>
        <w:t>201</w:t>
      </w:r>
      <w:r w:rsidR="00142C71">
        <w:rPr>
          <w:rFonts w:eastAsia="SimSun" w:cs="Arial"/>
          <w:sz w:val="24"/>
          <w:lang w:eastAsia="zh-CN"/>
        </w:rPr>
        <w:t>7</w:t>
      </w:r>
    </w:p>
    <w:p w:rsidR="00AA2FAB" w:rsidRPr="00241B3A" w:rsidRDefault="00AA2FAB" w:rsidP="00241B3A">
      <w:pPr>
        <w:pStyle w:val="Header"/>
        <w:rPr>
          <w:rFonts w:cs="Arial"/>
          <w:sz w:val="24"/>
        </w:rPr>
      </w:pPr>
    </w:p>
    <w:p w:rsidR="00AA2FAB" w:rsidRPr="005A5586" w:rsidRDefault="00AA2FAB" w:rsidP="00241B3A">
      <w:pPr>
        <w:pStyle w:val="Header"/>
        <w:tabs>
          <w:tab w:val="clear" w:pos="4536"/>
          <w:tab w:val="left" w:pos="1800"/>
        </w:tabs>
        <w:ind w:left="1800" w:hanging="1800"/>
        <w:outlineLvl w:val="0"/>
        <w:rPr>
          <w:rFonts w:cs="Arial"/>
          <w:sz w:val="24"/>
        </w:rPr>
      </w:pPr>
      <w:r w:rsidRPr="00241B3A">
        <w:rPr>
          <w:rFonts w:cs="Arial"/>
          <w:sz w:val="24"/>
        </w:rPr>
        <w:t xml:space="preserve">Source: </w:t>
      </w:r>
      <w:r w:rsidRPr="00241B3A">
        <w:rPr>
          <w:rFonts w:cs="Arial"/>
          <w:sz w:val="24"/>
        </w:rPr>
        <w:tab/>
        <w:t>ZTE</w:t>
      </w:r>
      <w:r w:rsidR="005A5586">
        <w:rPr>
          <w:rFonts w:cs="Arial"/>
          <w:sz w:val="24"/>
        </w:rPr>
        <w:t>, ZTE Microelectronics</w:t>
      </w:r>
    </w:p>
    <w:p w:rsidR="00AA2FAB" w:rsidRPr="00C46368" w:rsidRDefault="00AA2FAB" w:rsidP="00241B3A">
      <w:pPr>
        <w:pStyle w:val="Header"/>
        <w:tabs>
          <w:tab w:val="clear" w:pos="4536"/>
          <w:tab w:val="left" w:pos="1805"/>
        </w:tabs>
        <w:ind w:left="1800" w:hanging="1800"/>
        <w:outlineLvl w:val="0"/>
        <w:rPr>
          <w:rFonts w:cs="Arial"/>
          <w:sz w:val="24"/>
        </w:rPr>
      </w:pPr>
      <w:r w:rsidRPr="00241B3A">
        <w:rPr>
          <w:rFonts w:cs="Arial"/>
          <w:sz w:val="24"/>
        </w:rPr>
        <w:t>Title:</w:t>
      </w:r>
      <w:bookmarkStart w:id="0" w:name="Title"/>
      <w:bookmarkEnd w:id="0"/>
      <w:r w:rsidRPr="00241B3A">
        <w:rPr>
          <w:rFonts w:cs="Arial"/>
          <w:sz w:val="24"/>
        </w:rPr>
        <w:tab/>
      </w:r>
      <w:r w:rsidR="006E386A">
        <w:rPr>
          <w:rFonts w:cs="Arial"/>
          <w:sz w:val="24"/>
        </w:rPr>
        <w:t xml:space="preserve">Performance Evaluation of Non-orthogonal </w:t>
      </w:r>
      <w:r w:rsidR="00ED1B1A" w:rsidRPr="00ED1B1A">
        <w:rPr>
          <w:rFonts w:cs="Arial"/>
          <w:sz w:val="24"/>
        </w:rPr>
        <w:t xml:space="preserve">MA in </w:t>
      </w:r>
      <w:r w:rsidR="008B56E1">
        <w:rPr>
          <w:rFonts w:eastAsia="SimSun" w:cs="Arial"/>
          <w:sz w:val="24"/>
          <w:lang w:eastAsia="zh-CN"/>
        </w:rPr>
        <w:t>2-step Random Access Procedure</w:t>
      </w:r>
    </w:p>
    <w:p w:rsidR="00AA2FAB" w:rsidRPr="00C46368" w:rsidRDefault="00AA2FAB" w:rsidP="00241B3A">
      <w:pPr>
        <w:pStyle w:val="Header"/>
        <w:tabs>
          <w:tab w:val="clear" w:pos="4536"/>
          <w:tab w:val="left" w:pos="1800"/>
        </w:tabs>
        <w:ind w:left="1800" w:hanging="1800"/>
        <w:outlineLvl w:val="0"/>
        <w:rPr>
          <w:rFonts w:cs="Arial"/>
          <w:sz w:val="24"/>
        </w:rPr>
      </w:pPr>
      <w:r w:rsidRPr="00241B3A">
        <w:rPr>
          <w:rFonts w:cs="Arial"/>
          <w:sz w:val="24"/>
        </w:rPr>
        <w:t>Agenda Item:</w:t>
      </w:r>
      <w:bookmarkStart w:id="1" w:name="Source"/>
      <w:bookmarkEnd w:id="1"/>
      <w:r w:rsidRPr="00241B3A">
        <w:rPr>
          <w:rFonts w:cs="Arial"/>
          <w:sz w:val="24"/>
        </w:rPr>
        <w:tab/>
      </w:r>
      <w:r w:rsidR="006E386A">
        <w:rPr>
          <w:rFonts w:eastAsia="SimSun" w:cs="Arial"/>
          <w:sz w:val="24"/>
          <w:lang w:eastAsia="zh-CN"/>
        </w:rPr>
        <w:t>8.1.1</w:t>
      </w:r>
      <w:r w:rsidR="00C030CA">
        <w:rPr>
          <w:rFonts w:eastAsia="SimSun" w:cs="Arial"/>
          <w:sz w:val="24"/>
          <w:lang w:eastAsia="zh-CN"/>
        </w:rPr>
        <w:t>0</w:t>
      </w:r>
    </w:p>
    <w:p w:rsidR="00AA2FAB" w:rsidRPr="00241B3A" w:rsidRDefault="00AA2FAB" w:rsidP="00241B3A">
      <w:pPr>
        <w:pStyle w:val="Header"/>
        <w:tabs>
          <w:tab w:val="clear" w:pos="4536"/>
          <w:tab w:val="left" w:pos="1800"/>
        </w:tabs>
        <w:ind w:left="1800" w:hanging="1800"/>
        <w:outlineLvl w:val="0"/>
        <w:rPr>
          <w:rFonts w:eastAsia="SimSun" w:cs="Arial"/>
          <w:sz w:val="24"/>
          <w:lang w:eastAsia="zh-CN"/>
        </w:rPr>
      </w:pPr>
      <w:r w:rsidRPr="00241B3A">
        <w:rPr>
          <w:rFonts w:cs="Arial"/>
          <w:sz w:val="24"/>
        </w:rPr>
        <w:t>Document for:</w:t>
      </w:r>
      <w:r w:rsidRPr="00241B3A">
        <w:rPr>
          <w:rFonts w:cs="Arial"/>
          <w:sz w:val="24"/>
        </w:rPr>
        <w:tab/>
      </w:r>
      <w:bookmarkStart w:id="2" w:name="DocumentFor"/>
      <w:bookmarkEnd w:id="2"/>
      <w:r w:rsidR="0047695C">
        <w:rPr>
          <w:rFonts w:cs="Arial"/>
          <w:sz w:val="24"/>
        </w:rPr>
        <w:t xml:space="preserve">Discussion and </w:t>
      </w:r>
      <w:r w:rsidR="007A3A9D" w:rsidRPr="007A3A9D">
        <w:rPr>
          <w:rFonts w:cs="Arial"/>
          <w:sz w:val="24"/>
        </w:rPr>
        <w:t>Decision</w:t>
      </w:r>
    </w:p>
    <w:p w:rsidR="00007059" w:rsidRPr="00B01079" w:rsidRDefault="0047695C" w:rsidP="00007059">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rPr>
      </w:pPr>
      <w:r>
        <w:rPr>
          <w:sz w:val="36"/>
          <w:szCs w:val="36"/>
          <w:lang w:val="en-US"/>
        </w:rPr>
        <w:t>Introduction</w:t>
      </w:r>
    </w:p>
    <w:p w:rsidR="00E527CD" w:rsidRDefault="0047695C" w:rsidP="00E527CD">
      <w:pPr>
        <w:jc w:val="both"/>
        <w:rPr>
          <w:rFonts w:ascii="Times New Roman" w:hAnsi="Times New Roman"/>
          <w:sz w:val="20"/>
          <w:szCs w:val="20"/>
        </w:rPr>
      </w:pPr>
      <w:r w:rsidRPr="0047695C">
        <w:rPr>
          <w:rFonts w:ascii="Times New Roman" w:hAnsi="Times New Roman"/>
          <w:sz w:val="20"/>
          <w:szCs w:val="20"/>
        </w:rPr>
        <w:t>There were length discus</w:t>
      </w:r>
      <w:r>
        <w:rPr>
          <w:rFonts w:ascii="Times New Roman" w:hAnsi="Times New Roman"/>
          <w:sz w:val="20"/>
          <w:szCs w:val="20"/>
        </w:rPr>
        <w:t xml:space="preserve">sions on the 2-step RACH in </w:t>
      </w:r>
      <w:r w:rsidRPr="0047695C">
        <w:rPr>
          <w:rFonts w:ascii="Times New Roman" w:hAnsi="Times New Roman"/>
          <w:sz w:val="20"/>
          <w:szCs w:val="20"/>
        </w:rPr>
        <w:t>RAN1#87</w:t>
      </w:r>
      <w:r w:rsidR="00E205EB">
        <w:rPr>
          <w:rFonts w:ascii="Times New Roman" w:hAnsi="Times New Roman" w:hint="eastAsia"/>
          <w:sz w:val="20"/>
          <w:szCs w:val="20"/>
        </w:rPr>
        <w:t xml:space="preserve"> and </w:t>
      </w:r>
      <w:r w:rsidR="00037A4D">
        <w:rPr>
          <w:rFonts w:ascii="Times New Roman" w:hAnsi="Times New Roman" w:hint="eastAsia"/>
          <w:sz w:val="20"/>
          <w:szCs w:val="20"/>
        </w:rPr>
        <w:t xml:space="preserve">Ad Hoc </w:t>
      </w:r>
      <w:r w:rsidR="00340BD5">
        <w:rPr>
          <w:rFonts w:ascii="Times New Roman" w:hAnsi="Times New Roman" w:hint="eastAsia"/>
          <w:sz w:val="20"/>
          <w:szCs w:val="20"/>
        </w:rPr>
        <w:t>NR</w:t>
      </w:r>
      <w:r w:rsidRPr="0047695C">
        <w:rPr>
          <w:rFonts w:ascii="Times New Roman" w:hAnsi="Times New Roman"/>
          <w:sz w:val="20"/>
          <w:szCs w:val="20"/>
        </w:rPr>
        <w:t xml:space="preserve"> meeting. Some schemes of the 2-step RACH </w:t>
      </w:r>
      <w:r>
        <w:rPr>
          <w:rFonts w:ascii="Times New Roman" w:hAnsi="Times New Roman"/>
          <w:sz w:val="20"/>
          <w:szCs w:val="20"/>
        </w:rPr>
        <w:t>were</w:t>
      </w:r>
      <w:r w:rsidRPr="0047695C">
        <w:rPr>
          <w:rFonts w:ascii="Times New Roman" w:hAnsi="Times New Roman"/>
          <w:sz w:val="20"/>
          <w:szCs w:val="20"/>
        </w:rPr>
        <w:t xml:space="preserve"> proposed and discussed.</w:t>
      </w:r>
    </w:p>
    <w:p w:rsidR="00E527CD" w:rsidRDefault="0047695C" w:rsidP="00E527CD">
      <w:pPr>
        <w:jc w:val="both"/>
        <w:rPr>
          <w:rFonts w:ascii="Times New Roman" w:hAnsi="Times New Roman"/>
          <w:sz w:val="20"/>
          <w:szCs w:val="20"/>
        </w:rPr>
      </w:pPr>
      <w:r w:rsidRPr="0047695C">
        <w:rPr>
          <w:rFonts w:ascii="Times New Roman" w:hAnsi="Times New Roman"/>
          <w:sz w:val="20"/>
          <w:szCs w:val="20"/>
        </w:rPr>
        <w:t xml:space="preserve">In this contribution, we </w:t>
      </w:r>
      <w:r w:rsidR="00ED1B1A" w:rsidRPr="00DC70EC">
        <w:rPr>
          <w:rFonts w:ascii="Times New Roman" w:hAnsi="Times New Roman"/>
          <w:sz w:val="20"/>
          <w:szCs w:val="20"/>
        </w:rPr>
        <w:t xml:space="preserve">firstly </w:t>
      </w:r>
      <w:r w:rsidR="00DC70EC">
        <w:rPr>
          <w:rFonts w:ascii="Times New Roman" w:hAnsi="Times New Roman"/>
          <w:sz w:val="20"/>
          <w:szCs w:val="20"/>
        </w:rPr>
        <w:t>describe how to</w:t>
      </w:r>
      <w:r w:rsidR="00ED1B1A" w:rsidRPr="00DC70EC">
        <w:rPr>
          <w:rFonts w:ascii="Times New Roman" w:hAnsi="Times New Roman"/>
          <w:sz w:val="20"/>
          <w:szCs w:val="20"/>
        </w:rPr>
        <w:t xml:space="preserve"> </w:t>
      </w:r>
      <w:r w:rsidR="00DC70EC">
        <w:rPr>
          <w:rFonts w:ascii="Times New Roman" w:hAnsi="Times New Roman"/>
          <w:sz w:val="20"/>
          <w:szCs w:val="20"/>
        </w:rPr>
        <w:t>apply non-orthogonal multiple access schemes to 2</w:t>
      </w:r>
      <w:r w:rsidR="00ED1B1A" w:rsidRPr="00DC70EC">
        <w:rPr>
          <w:rFonts w:ascii="Times New Roman" w:hAnsi="Times New Roman"/>
          <w:sz w:val="20"/>
          <w:szCs w:val="20"/>
        </w:rPr>
        <w:t xml:space="preserve">-step </w:t>
      </w:r>
      <w:r w:rsidR="00DC70EC">
        <w:rPr>
          <w:rFonts w:ascii="Times New Roman" w:hAnsi="Times New Roman"/>
          <w:sz w:val="20"/>
          <w:szCs w:val="20"/>
        </w:rPr>
        <w:t>r</w:t>
      </w:r>
      <w:r w:rsidR="00ED1B1A" w:rsidRPr="00DC70EC">
        <w:rPr>
          <w:rFonts w:ascii="Times New Roman" w:hAnsi="Times New Roman"/>
          <w:sz w:val="20"/>
          <w:szCs w:val="20"/>
        </w:rPr>
        <w:t xml:space="preserve">andom </w:t>
      </w:r>
      <w:r w:rsidR="00DC70EC">
        <w:rPr>
          <w:rFonts w:ascii="Times New Roman" w:hAnsi="Times New Roman"/>
          <w:sz w:val="20"/>
          <w:szCs w:val="20"/>
        </w:rPr>
        <w:t>a</w:t>
      </w:r>
      <w:r w:rsidR="00ED1B1A" w:rsidRPr="00DC70EC">
        <w:rPr>
          <w:rFonts w:ascii="Times New Roman" w:hAnsi="Times New Roman"/>
          <w:sz w:val="20"/>
          <w:szCs w:val="20"/>
        </w:rPr>
        <w:t xml:space="preserve">ccess </w:t>
      </w:r>
      <w:r w:rsidR="00DC70EC">
        <w:rPr>
          <w:rFonts w:ascii="Times New Roman" w:hAnsi="Times New Roman"/>
          <w:sz w:val="20"/>
          <w:szCs w:val="20"/>
        </w:rPr>
        <w:t>p</w:t>
      </w:r>
      <w:r w:rsidR="00ED1B1A" w:rsidRPr="00DC70EC">
        <w:rPr>
          <w:rFonts w:ascii="Times New Roman" w:hAnsi="Times New Roman"/>
          <w:sz w:val="20"/>
          <w:szCs w:val="20"/>
        </w:rPr>
        <w:t>rocedure</w:t>
      </w:r>
      <w:r w:rsidR="00DC70EC">
        <w:rPr>
          <w:rFonts w:ascii="Times New Roman" w:hAnsi="Times New Roman"/>
          <w:sz w:val="20"/>
          <w:szCs w:val="20"/>
        </w:rPr>
        <w:t>,</w:t>
      </w:r>
      <w:r w:rsidR="00ED1B1A" w:rsidRPr="00DC70EC">
        <w:rPr>
          <w:rFonts w:ascii="Times New Roman" w:hAnsi="Times New Roman"/>
          <w:sz w:val="20"/>
          <w:szCs w:val="20"/>
        </w:rPr>
        <w:t xml:space="preserve"> </w:t>
      </w:r>
      <w:r w:rsidR="00DC70EC">
        <w:rPr>
          <w:rFonts w:ascii="Times New Roman" w:hAnsi="Times New Roman"/>
          <w:sz w:val="20"/>
          <w:szCs w:val="20"/>
        </w:rPr>
        <w:t>assuming UEs are in RRC inactive state</w:t>
      </w:r>
      <w:r w:rsidR="00ED1B1A" w:rsidRPr="00DC70EC">
        <w:rPr>
          <w:rFonts w:ascii="Times New Roman" w:hAnsi="Times New Roman"/>
          <w:sz w:val="20"/>
          <w:szCs w:val="20"/>
        </w:rPr>
        <w:t xml:space="preserve">, and then </w:t>
      </w:r>
      <w:r w:rsidR="00DC70EC">
        <w:rPr>
          <w:rFonts w:ascii="Times New Roman" w:hAnsi="Times New Roman"/>
          <w:sz w:val="20"/>
          <w:szCs w:val="20"/>
        </w:rPr>
        <w:t xml:space="preserve">provide some simulation </w:t>
      </w:r>
      <w:r w:rsidR="00227A2E">
        <w:rPr>
          <w:rFonts w:ascii="Times New Roman" w:hAnsi="Times New Roman"/>
          <w:sz w:val="20"/>
          <w:szCs w:val="20"/>
        </w:rPr>
        <w:t>results.</w:t>
      </w:r>
    </w:p>
    <w:p w:rsidR="00F44355" w:rsidRDefault="00ED1B1A" w:rsidP="0058256F">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lang w:val="en-US"/>
        </w:rPr>
      </w:pPr>
      <w:r>
        <w:rPr>
          <w:rFonts w:hint="eastAsia"/>
          <w:sz w:val="36"/>
          <w:szCs w:val="36"/>
          <w:lang w:val="en-US"/>
        </w:rPr>
        <w:t>Discussion</w:t>
      </w:r>
    </w:p>
    <w:p w:rsidR="00E527CD" w:rsidRDefault="00E527CD" w:rsidP="00E527CD">
      <w:pPr>
        <w:spacing w:after="0"/>
        <w:jc w:val="both"/>
        <w:rPr>
          <w:rFonts w:ascii="Times New Roman" w:hAnsi="Times New Roman"/>
          <w:sz w:val="20"/>
          <w:szCs w:val="20"/>
        </w:rPr>
      </w:pPr>
      <w:r w:rsidRPr="00E527CD">
        <w:rPr>
          <w:rFonts w:ascii="Times New Roman" w:hAnsi="Times New Roman"/>
          <w:sz w:val="20"/>
          <w:szCs w:val="20"/>
        </w:rPr>
        <w:t>In RRC_INACTIVE state, data can be transmitted with simplified 2-step</w:t>
      </w:r>
      <w:r w:rsidR="00010371">
        <w:rPr>
          <w:rFonts w:ascii="Times New Roman" w:hAnsi="Times New Roman"/>
          <w:sz w:val="20"/>
          <w:szCs w:val="20"/>
        </w:rPr>
        <w:t xml:space="preserve"> RACH. The saving of the signal</w:t>
      </w:r>
      <w:r w:rsidRPr="00E527CD">
        <w:rPr>
          <w:rFonts w:ascii="Times New Roman" w:hAnsi="Times New Roman"/>
          <w:sz w:val="20"/>
          <w:szCs w:val="20"/>
        </w:rPr>
        <w:t xml:space="preserve">ing naturally saves UE’s power consumption, reduces latency and increases system capacity. </w:t>
      </w:r>
      <w:r w:rsidR="004D34AB">
        <w:rPr>
          <w:rFonts w:ascii="Times New Roman" w:hAnsi="Times New Roman" w:hint="eastAsia"/>
          <w:sz w:val="20"/>
          <w:szCs w:val="20"/>
        </w:rPr>
        <w:t>Three different data structure</w:t>
      </w:r>
      <w:r w:rsidR="00DE6DB7">
        <w:rPr>
          <w:rFonts w:ascii="Times New Roman" w:hAnsi="Times New Roman" w:hint="eastAsia"/>
          <w:sz w:val="20"/>
          <w:szCs w:val="20"/>
        </w:rPr>
        <w:t>s</w:t>
      </w:r>
      <w:r w:rsidR="004D34AB">
        <w:rPr>
          <w:rFonts w:ascii="Times New Roman" w:hAnsi="Times New Roman" w:hint="eastAsia"/>
          <w:sz w:val="20"/>
          <w:szCs w:val="20"/>
        </w:rPr>
        <w:t xml:space="preserve"> can be designed for 2-step RACH, i.e.</w:t>
      </w:r>
    </w:p>
    <w:p w:rsidR="00E527CD" w:rsidRDefault="008D1044" w:rsidP="00E527CD">
      <w:pPr>
        <w:pStyle w:val="ListParagraph"/>
        <w:numPr>
          <w:ilvl w:val="0"/>
          <w:numId w:val="19"/>
        </w:numPr>
        <w:ind w:firstLineChars="0"/>
        <w:rPr>
          <w:sz w:val="20"/>
          <w:szCs w:val="20"/>
        </w:rPr>
      </w:pPr>
      <w:r>
        <w:rPr>
          <w:rFonts w:hint="eastAsia"/>
          <w:sz w:val="20"/>
          <w:szCs w:val="20"/>
        </w:rPr>
        <w:t>Traditional structure: P</w:t>
      </w:r>
      <w:r w:rsidR="004D34AB">
        <w:rPr>
          <w:rFonts w:hint="eastAsia"/>
          <w:sz w:val="20"/>
          <w:szCs w:val="20"/>
        </w:rPr>
        <w:t xml:space="preserve">reamble + Payload </w:t>
      </w:r>
      <w:r w:rsidR="004D34AB">
        <w:rPr>
          <w:sz w:val="20"/>
          <w:szCs w:val="20"/>
        </w:rPr>
        <w:t>without</w:t>
      </w:r>
      <w:r w:rsidR="004D34AB">
        <w:rPr>
          <w:rFonts w:hint="eastAsia"/>
          <w:sz w:val="20"/>
          <w:szCs w:val="20"/>
        </w:rPr>
        <w:t xml:space="preserve"> spreading,</w:t>
      </w:r>
    </w:p>
    <w:p w:rsidR="00E527CD" w:rsidRDefault="004D34AB" w:rsidP="00E527CD">
      <w:pPr>
        <w:pStyle w:val="ListParagraph"/>
        <w:numPr>
          <w:ilvl w:val="0"/>
          <w:numId w:val="19"/>
        </w:numPr>
        <w:ind w:left="357" w:firstLineChars="0" w:hanging="357"/>
        <w:rPr>
          <w:sz w:val="20"/>
          <w:szCs w:val="20"/>
        </w:rPr>
      </w:pPr>
      <w:r>
        <w:rPr>
          <w:rFonts w:hint="eastAsia"/>
          <w:sz w:val="20"/>
          <w:szCs w:val="20"/>
        </w:rPr>
        <w:t>Preamble + Payload with non-orthogonal spreading</w:t>
      </w:r>
    </w:p>
    <w:p w:rsidR="00DD0C31" w:rsidRDefault="004D34AB" w:rsidP="00C030CA">
      <w:pPr>
        <w:pStyle w:val="ListParagraph"/>
        <w:numPr>
          <w:ilvl w:val="0"/>
          <w:numId w:val="19"/>
        </w:numPr>
        <w:spacing w:afterLines="50"/>
        <w:ind w:left="357" w:firstLineChars="0" w:hanging="357"/>
        <w:rPr>
          <w:sz w:val="20"/>
          <w:szCs w:val="20"/>
        </w:rPr>
      </w:pPr>
      <w:r>
        <w:rPr>
          <w:rFonts w:hint="eastAsia"/>
          <w:sz w:val="20"/>
          <w:szCs w:val="20"/>
        </w:rPr>
        <w:t>Payload-only with non-orthogonal spreadi</w:t>
      </w:r>
      <w:r w:rsidR="00E527CD" w:rsidRPr="00E527CD">
        <w:rPr>
          <w:kern w:val="0"/>
          <w:sz w:val="20"/>
          <w:szCs w:val="20"/>
        </w:rPr>
        <w:t>ng</w:t>
      </w:r>
    </w:p>
    <w:p w:rsidR="00DD0C31" w:rsidRDefault="004D34AB" w:rsidP="00C030CA">
      <w:pPr>
        <w:spacing w:afterLines="50"/>
        <w:jc w:val="both"/>
        <w:rPr>
          <w:rFonts w:ascii="Times New Roman" w:hAnsi="Times New Roman"/>
          <w:sz w:val="20"/>
          <w:szCs w:val="20"/>
        </w:rPr>
      </w:pPr>
      <w:r>
        <w:rPr>
          <w:rFonts w:ascii="Times New Roman" w:hAnsi="Times New Roman" w:hint="eastAsia"/>
          <w:sz w:val="20"/>
          <w:szCs w:val="20"/>
        </w:rPr>
        <w:t xml:space="preserve">Comparing to the structure without spreading, </w:t>
      </w:r>
      <w:r w:rsidR="00E527CD" w:rsidRPr="00E527CD">
        <w:rPr>
          <w:rFonts w:ascii="Times New Roman" w:hAnsi="Times New Roman"/>
          <w:sz w:val="20"/>
          <w:szCs w:val="20"/>
        </w:rPr>
        <w:t>characteristic</w:t>
      </w:r>
      <w:r w:rsidR="00332DA5">
        <w:rPr>
          <w:rFonts w:ascii="Times New Roman" w:hAnsi="Times New Roman" w:hint="eastAsia"/>
          <w:sz w:val="20"/>
          <w:szCs w:val="20"/>
        </w:rPr>
        <w:t xml:space="preserve"> of n</w:t>
      </w:r>
      <w:r w:rsidR="00332DA5">
        <w:rPr>
          <w:rFonts w:ascii="Times New Roman" w:hAnsi="Times New Roman"/>
          <w:sz w:val="20"/>
          <w:szCs w:val="20"/>
        </w:rPr>
        <w:t>on-orthogonal</w:t>
      </w:r>
      <w:r w:rsidR="00E527CD" w:rsidRPr="00E527CD">
        <w:rPr>
          <w:rFonts w:ascii="Times New Roman" w:hAnsi="Times New Roman"/>
          <w:sz w:val="20"/>
          <w:szCs w:val="20"/>
        </w:rPr>
        <w:t xml:space="preserve"> spreading is more pronounced</w:t>
      </w:r>
      <w:r w:rsidR="005B5379">
        <w:rPr>
          <w:rFonts w:ascii="Times New Roman" w:hAnsi="Times New Roman" w:hint="eastAsia"/>
          <w:sz w:val="20"/>
          <w:szCs w:val="20"/>
        </w:rPr>
        <w:t>,</w:t>
      </w:r>
      <w:r w:rsidR="00E527CD" w:rsidRPr="00E527CD">
        <w:rPr>
          <w:rFonts w:ascii="Times New Roman" w:hAnsi="Times New Roman"/>
          <w:sz w:val="20"/>
          <w:szCs w:val="20"/>
        </w:rPr>
        <w:t xml:space="preserve"> </w:t>
      </w:r>
      <w:r w:rsidR="005B5379">
        <w:rPr>
          <w:rFonts w:ascii="Times New Roman" w:hAnsi="Times New Roman" w:hint="eastAsia"/>
          <w:sz w:val="20"/>
          <w:szCs w:val="20"/>
        </w:rPr>
        <w:t xml:space="preserve">especially </w:t>
      </w:r>
      <w:r w:rsidR="00E527CD" w:rsidRPr="00E527CD">
        <w:rPr>
          <w:rFonts w:ascii="Times New Roman" w:hAnsi="Times New Roman"/>
          <w:sz w:val="20"/>
          <w:szCs w:val="20"/>
        </w:rPr>
        <w:t xml:space="preserve">when </w:t>
      </w:r>
      <w:r w:rsidR="00A03C56">
        <w:rPr>
          <w:rFonts w:ascii="Times New Roman" w:hAnsi="Times New Roman" w:hint="eastAsia"/>
          <w:sz w:val="20"/>
          <w:szCs w:val="20"/>
        </w:rPr>
        <w:t xml:space="preserve">the </w:t>
      </w:r>
      <w:r w:rsidR="00E527CD" w:rsidRPr="00E527CD">
        <w:rPr>
          <w:rFonts w:ascii="Times New Roman" w:hAnsi="Times New Roman"/>
          <w:sz w:val="20"/>
          <w:szCs w:val="20"/>
        </w:rPr>
        <w:t xml:space="preserve">system load </w:t>
      </w:r>
      <w:r w:rsidR="0042196F">
        <w:rPr>
          <w:rFonts w:ascii="Times New Roman" w:hAnsi="Times New Roman" w:hint="eastAsia"/>
          <w:sz w:val="20"/>
          <w:szCs w:val="20"/>
        </w:rPr>
        <w:t xml:space="preserve">of random access </w:t>
      </w:r>
      <w:r w:rsidR="00E527CD" w:rsidRPr="00E527CD">
        <w:rPr>
          <w:rFonts w:ascii="Times New Roman" w:hAnsi="Times New Roman"/>
          <w:sz w:val="20"/>
          <w:szCs w:val="20"/>
        </w:rPr>
        <w:t xml:space="preserve">increases, to combat the high likelihood of resource </w:t>
      </w:r>
      <w:bookmarkStart w:id="3" w:name="OLE_LINK7"/>
      <w:bookmarkStart w:id="4" w:name="OLE_LINK8"/>
      <w:r w:rsidR="00E527CD" w:rsidRPr="00E527CD">
        <w:rPr>
          <w:rFonts w:ascii="Times New Roman" w:hAnsi="Times New Roman"/>
          <w:sz w:val="20"/>
          <w:szCs w:val="20"/>
        </w:rPr>
        <w:t>collision</w:t>
      </w:r>
      <w:bookmarkEnd w:id="3"/>
      <w:bookmarkEnd w:id="4"/>
      <w:r w:rsidR="0042196F">
        <w:rPr>
          <w:rFonts w:ascii="Times New Roman" w:hAnsi="Times New Roman" w:hint="eastAsia"/>
          <w:sz w:val="20"/>
          <w:szCs w:val="20"/>
        </w:rPr>
        <w:t xml:space="preserve">, </w:t>
      </w:r>
      <w:r w:rsidR="00E527CD" w:rsidRPr="00E527CD">
        <w:rPr>
          <w:rFonts w:ascii="Times New Roman" w:hAnsi="Times New Roman"/>
          <w:sz w:val="20"/>
          <w:szCs w:val="20"/>
        </w:rPr>
        <w:t xml:space="preserve">improve the performance </w:t>
      </w:r>
      <w:r w:rsidR="0042196F">
        <w:rPr>
          <w:rFonts w:ascii="Times New Roman" w:hAnsi="Times New Roman" w:hint="eastAsia"/>
          <w:sz w:val="20"/>
          <w:szCs w:val="20"/>
        </w:rPr>
        <w:t>of system capacity</w:t>
      </w:r>
      <w:r w:rsidR="00E527CD" w:rsidRPr="00E527CD">
        <w:rPr>
          <w:rFonts w:ascii="Times New Roman" w:hAnsi="Times New Roman"/>
          <w:sz w:val="20"/>
          <w:szCs w:val="20"/>
        </w:rPr>
        <w:t>.</w:t>
      </w:r>
    </w:p>
    <w:p w:rsidR="00DD0C31" w:rsidRDefault="00AF51D9" w:rsidP="00C030CA">
      <w:pPr>
        <w:spacing w:afterLines="50"/>
        <w:jc w:val="both"/>
        <w:rPr>
          <w:rFonts w:ascii="Times New Roman" w:hAnsi="Times New Roman"/>
          <w:sz w:val="20"/>
          <w:szCs w:val="20"/>
        </w:rPr>
      </w:pPr>
      <w:r>
        <w:rPr>
          <w:rFonts w:ascii="Times New Roman" w:hAnsi="Times New Roman" w:hint="eastAsia"/>
          <w:sz w:val="20"/>
          <w:szCs w:val="20"/>
        </w:rPr>
        <w:t xml:space="preserve">Preamble+ payload with </w:t>
      </w:r>
      <w:r w:rsidR="00E527CD" w:rsidRPr="00E527CD">
        <w:rPr>
          <w:rFonts w:ascii="Times New Roman" w:hAnsi="Times New Roman"/>
          <w:sz w:val="20"/>
          <w:szCs w:val="20"/>
        </w:rPr>
        <w:t>non-orthogonal</w:t>
      </w:r>
      <w:r w:rsidR="003A58C8">
        <w:rPr>
          <w:rFonts w:ascii="Times New Roman" w:hAnsi="Times New Roman" w:hint="eastAsia"/>
          <w:sz w:val="20"/>
          <w:szCs w:val="20"/>
        </w:rPr>
        <w:t xml:space="preserve"> </w:t>
      </w:r>
      <w:r>
        <w:rPr>
          <w:rFonts w:ascii="Times New Roman" w:hAnsi="Times New Roman" w:hint="eastAsia"/>
          <w:sz w:val="20"/>
          <w:szCs w:val="20"/>
        </w:rPr>
        <w:t xml:space="preserve">spreading </w:t>
      </w:r>
      <w:r w:rsidR="008000E5">
        <w:rPr>
          <w:rFonts w:ascii="Times New Roman" w:hAnsi="Times New Roman"/>
          <w:sz w:val="20"/>
          <w:szCs w:val="20"/>
        </w:rPr>
        <w:t>can be</w:t>
      </w:r>
      <w:r w:rsidR="008000E5">
        <w:rPr>
          <w:rFonts w:ascii="Times New Roman" w:hAnsi="Times New Roman" w:hint="eastAsia"/>
          <w:sz w:val="20"/>
          <w:szCs w:val="20"/>
        </w:rPr>
        <w:t xml:space="preserve"> </w:t>
      </w:r>
      <w:r>
        <w:rPr>
          <w:rFonts w:ascii="Times New Roman" w:hAnsi="Times New Roman" w:hint="eastAsia"/>
          <w:sz w:val="20"/>
          <w:szCs w:val="20"/>
        </w:rPr>
        <w:t xml:space="preserve">a </w:t>
      </w:r>
      <w:r w:rsidR="009533F6">
        <w:rPr>
          <w:rFonts w:ascii="Times New Roman" w:hAnsi="Times New Roman"/>
          <w:sz w:val="20"/>
          <w:szCs w:val="20"/>
        </w:rPr>
        <w:t>reasonable</w:t>
      </w:r>
      <w:r w:rsidR="009533F6">
        <w:rPr>
          <w:rFonts w:ascii="Times New Roman" w:hAnsi="Times New Roman" w:hint="eastAsia"/>
          <w:sz w:val="20"/>
          <w:szCs w:val="20"/>
        </w:rPr>
        <w:t xml:space="preserve"> </w:t>
      </w:r>
      <w:r w:rsidR="009533F6">
        <w:rPr>
          <w:rFonts w:ascii="Times New Roman" w:hAnsi="Times New Roman"/>
          <w:sz w:val="20"/>
          <w:szCs w:val="20"/>
        </w:rPr>
        <w:t>approach</w:t>
      </w:r>
      <w:r w:rsidR="009533F6">
        <w:rPr>
          <w:rFonts w:ascii="Times New Roman" w:hAnsi="Times New Roman" w:hint="eastAsia"/>
          <w:sz w:val="20"/>
          <w:szCs w:val="20"/>
        </w:rPr>
        <w:t xml:space="preserve"> </w:t>
      </w:r>
      <w:r w:rsidR="003A58C8">
        <w:rPr>
          <w:rFonts w:ascii="Times New Roman" w:hAnsi="Times New Roman" w:hint="eastAsia"/>
          <w:sz w:val="20"/>
          <w:szCs w:val="20"/>
        </w:rPr>
        <w:t>to ease the burden of advanced receiver</w:t>
      </w:r>
      <w:r>
        <w:rPr>
          <w:rFonts w:ascii="Times New Roman" w:hAnsi="Times New Roman" w:hint="eastAsia"/>
          <w:sz w:val="20"/>
          <w:szCs w:val="20"/>
        </w:rPr>
        <w:t>,</w:t>
      </w:r>
      <w:r w:rsidR="00270580">
        <w:rPr>
          <w:rFonts w:ascii="Times New Roman" w:hAnsi="Times New Roman" w:hint="eastAsia"/>
          <w:sz w:val="20"/>
          <w:szCs w:val="20"/>
        </w:rPr>
        <w:t xml:space="preserve"> and the preamble </w:t>
      </w:r>
      <w:r w:rsidR="00270580" w:rsidRPr="001C5FD0">
        <w:rPr>
          <w:rFonts w:ascii="Times New Roman" w:hAnsi="Times New Roman"/>
          <w:sz w:val="20"/>
          <w:szCs w:val="20"/>
        </w:rPr>
        <w:t xml:space="preserve">can </w:t>
      </w:r>
      <w:r w:rsidR="00270580">
        <w:rPr>
          <w:rFonts w:ascii="Times New Roman" w:hAnsi="Times New Roman" w:hint="eastAsia"/>
          <w:sz w:val="20"/>
          <w:szCs w:val="20"/>
        </w:rPr>
        <w:t>be used to</w:t>
      </w:r>
      <w:r w:rsidR="00270580" w:rsidRPr="001C5FD0">
        <w:rPr>
          <w:rFonts w:ascii="Times New Roman" w:hAnsi="Times New Roman"/>
          <w:sz w:val="20"/>
          <w:szCs w:val="20"/>
        </w:rPr>
        <w:t xml:space="preserve"> </w:t>
      </w:r>
      <w:r w:rsidR="00270580">
        <w:rPr>
          <w:rFonts w:ascii="Times New Roman" w:hAnsi="Times New Roman" w:hint="eastAsia"/>
          <w:sz w:val="20"/>
          <w:szCs w:val="20"/>
        </w:rPr>
        <w:t xml:space="preserve">get </w:t>
      </w:r>
      <w:r w:rsidR="00C60D5B">
        <w:rPr>
          <w:rFonts w:ascii="Times New Roman" w:hAnsi="Times New Roman" w:hint="eastAsia"/>
          <w:sz w:val="20"/>
          <w:szCs w:val="20"/>
        </w:rPr>
        <w:t>accurate</w:t>
      </w:r>
      <w:r w:rsidR="00270580">
        <w:rPr>
          <w:rFonts w:ascii="Times New Roman" w:hAnsi="Times New Roman" w:hint="eastAsia"/>
          <w:sz w:val="20"/>
          <w:szCs w:val="20"/>
        </w:rPr>
        <w:t xml:space="preserve"> </w:t>
      </w:r>
      <w:r w:rsidR="00270580" w:rsidRPr="001C5FD0">
        <w:rPr>
          <w:rFonts w:ascii="Times New Roman" w:hAnsi="Times New Roman"/>
          <w:sz w:val="20"/>
          <w:szCs w:val="20"/>
        </w:rPr>
        <w:t>TA</w:t>
      </w:r>
      <w:r w:rsidR="00270580">
        <w:rPr>
          <w:rFonts w:ascii="Times New Roman" w:hAnsi="Times New Roman" w:hint="eastAsia"/>
          <w:sz w:val="20"/>
          <w:szCs w:val="20"/>
        </w:rPr>
        <w:t xml:space="preserve"> estimation. However, for the 2-step RACH </w:t>
      </w:r>
      <w:r w:rsidR="00972A2D">
        <w:rPr>
          <w:rFonts w:ascii="Times New Roman" w:hAnsi="Times New Roman" w:hint="eastAsia"/>
          <w:sz w:val="20"/>
          <w:szCs w:val="20"/>
        </w:rPr>
        <w:t>which is more likely to be applied in small-cell use cases and</w:t>
      </w:r>
      <w:r w:rsidR="00270580">
        <w:rPr>
          <w:rFonts w:ascii="Times New Roman" w:hAnsi="Times New Roman" w:hint="eastAsia"/>
          <w:sz w:val="20"/>
          <w:szCs w:val="20"/>
        </w:rPr>
        <w:t xml:space="preserve"> the payload size is relatively small, the overhead of preamble </w:t>
      </w:r>
      <w:r w:rsidR="000C5749">
        <w:rPr>
          <w:rFonts w:ascii="Times New Roman" w:hAnsi="Times New Roman" w:hint="eastAsia"/>
          <w:sz w:val="20"/>
          <w:szCs w:val="20"/>
        </w:rPr>
        <w:t xml:space="preserve">is not </w:t>
      </w:r>
      <w:r w:rsidR="000C5749">
        <w:rPr>
          <w:rFonts w:ascii="Times New Roman" w:hAnsi="Times New Roman" w:hint="eastAsia"/>
          <w:sz w:val="20"/>
          <w:szCs w:val="20"/>
        </w:rPr>
        <w:t xml:space="preserve">negligible and thus </w:t>
      </w:r>
      <w:r w:rsidR="00270580">
        <w:rPr>
          <w:rFonts w:ascii="Times New Roman" w:hAnsi="Times New Roman" w:hint="eastAsia"/>
          <w:sz w:val="20"/>
          <w:szCs w:val="20"/>
        </w:rPr>
        <w:t>the</w:t>
      </w:r>
      <w:r w:rsidR="00B226D8">
        <w:rPr>
          <w:rFonts w:ascii="Times New Roman" w:hAnsi="Times New Roman" w:hint="eastAsia"/>
          <w:sz w:val="20"/>
          <w:szCs w:val="20"/>
        </w:rPr>
        <w:t xml:space="preserve"> </w:t>
      </w:r>
      <w:r w:rsidR="00270580">
        <w:rPr>
          <w:rFonts w:ascii="Times New Roman" w:hAnsi="Times New Roman" w:hint="eastAsia"/>
          <w:sz w:val="20"/>
          <w:szCs w:val="20"/>
        </w:rPr>
        <w:t>spectral efficiency</w:t>
      </w:r>
      <w:r w:rsidR="000C5749">
        <w:rPr>
          <w:rFonts w:ascii="Times New Roman" w:hAnsi="Times New Roman" w:hint="eastAsia"/>
          <w:sz w:val="20"/>
          <w:szCs w:val="20"/>
        </w:rPr>
        <w:t xml:space="preserve"> is limited</w:t>
      </w:r>
      <w:r>
        <w:rPr>
          <w:rFonts w:ascii="Times New Roman" w:hAnsi="Times New Roman" w:hint="eastAsia"/>
          <w:sz w:val="20"/>
          <w:szCs w:val="20"/>
        </w:rPr>
        <w:t xml:space="preserve">. </w:t>
      </w:r>
      <w:r w:rsidR="00B028F1">
        <w:rPr>
          <w:rFonts w:ascii="Times New Roman" w:hAnsi="Times New Roman" w:hint="eastAsia"/>
          <w:sz w:val="20"/>
          <w:szCs w:val="20"/>
        </w:rPr>
        <w:t>F</w:t>
      </w:r>
      <w:r w:rsidR="00B028F1" w:rsidRPr="00B028F1">
        <w:rPr>
          <w:rFonts w:ascii="Times New Roman" w:hAnsi="Times New Roman"/>
          <w:sz w:val="20"/>
          <w:szCs w:val="20"/>
        </w:rPr>
        <w:t>urther</w:t>
      </w:r>
      <w:r w:rsidR="00B028F1">
        <w:rPr>
          <w:rFonts w:ascii="Times New Roman" w:hAnsi="Times New Roman" w:hint="eastAsia"/>
          <w:sz w:val="20"/>
          <w:szCs w:val="20"/>
        </w:rPr>
        <w:t>more,</w:t>
      </w:r>
      <w:r w:rsidR="00010371">
        <w:rPr>
          <w:rFonts w:ascii="Times New Roman" w:hAnsi="Times New Roman"/>
          <w:sz w:val="20"/>
          <w:szCs w:val="20"/>
        </w:rPr>
        <w:t xml:space="preserve"> </w:t>
      </w:r>
      <w:r w:rsidR="00046301">
        <w:rPr>
          <w:rFonts w:ascii="Times New Roman" w:hAnsi="Times New Roman" w:hint="eastAsia"/>
          <w:sz w:val="20"/>
          <w:szCs w:val="20"/>
        </w:rPr>
        <w:t xml:space="preserve">when the density of </w:t>
      </w:r>
      <w:r w:rsidR="00B028F1">
        <w:rPr>
          <w:rFonts w:ascii="Times New Roman" w:hAnsi="Times New Roman" w:hint="eastAsia"/>
          <w:sz w:val="20"/>
          <w:szCs w:val="20"/>
        </w:rPr>
        <w:t xml:space="preserve">random access </w:t>
      </w:r>
      <w:r w:rsidR="00B028F1" w:rsidRPr="00E527CD">
        <w:rPr>
          <w:rFonts w:ascii="Times New Roman" w:hAnsi="Times New Roman"/>
          <w:sz w:val="20"/>
          <w:szCs w:val="20"/>
        </w:rPr>
        <w:t>increases</w:t>
      </w:r>
      <w:r w:rsidR="00B028F1">
        <w:rPr>
          <w:rFonts w:ascii="Times New Roman" w:hAnsi="Times New Roman" w:hint="eastAsia"/>
          <w:sz w:val="20"/>
          <w:szCs w:val="20"/>
        </w:rPr>
        <w:t xml:space="preserve">, the preamble </w:t>
      </w:r>
      <w:r w:rsidR="00B028F1" w:rsidRPr="00E527CD">
        <w:rPr>
          <w:rFonts w:ascii="Times New Roman" w:hAnsi="Times New Roman"/>
          <w:sz w:val="20"/>
          <w:szCs w:val="20"/>
        </w:rPr>
        <w:t>collision</w:t>
      </w:r>
      <w:r w:rsidR="00B028F1">
        <w:rPr>
          <w:rFonts w:ascii="Times New Roman" w:hAnsi="Times New Roman" w:hint="eastAsia"/>
          <w:sz w:val="20"/>
          <w:szCs w:val="20"/>
        </w:rPr>
        <w:t xml:space="preserve"> would also </w:t>
      </w:r>
      <w:r w:rsidR="00B028F1" w:rsidRPr="00B028F1">
        <w:rPr>
          <w:rFonts w:ascii="Times New Roman" w:hAnsi="Times New Roman"/>
          <w:sz w:val="20"/>
          <w:szCs w:val="20"/>
        </w:rPr>
        <w:t>visibly degrade</w:t>
      </w:r>
      <w:r w:rsidR="00B028F1">
        <w:rPr>
          <w:rFonts w:ascii="Times New Roman" w:hAnsi="Times New Roman" w:hint="eastAsia"/>
          <w:sz w:val="20"/>
          <w:szCs w:val="20"/>
        </w:rPr>
        <w:t xml:space="preserve"> the </w:t>
      </w:r>
      <w:r w:rsidR="00B028F1">
        <w:rPr>
          <w:rFonts w:ascii="Times New Roman" w:hAnsi="Times New Roman"/>
          <w:sz w:val="20"/>
          <w:szCs w:val="20"/>
        </w:rPr>
        <w:t>2</w:t>
      </w:r>
      <w:r w:rsidR="00B028F1" w:rsidRPr="00DC70EC">
        <w:rPr>
          <w:rFonts w:ascii="Times New Roman" w:hAnsi="Times New Roman"/>
          <w:sz w:val="20"/>
          <w:szCs w:val="20"/>
        </w:rPr>
        <w:t>-step</w:t>
      </w:r>
      <w:r w:rsidR="00B028F1">
        <w:rPr>
          <w:rFonts w:ascii="Times New Roman" w:hAnsi="Times New Roman" w:hint="eastAsia"/>
          <w:sz w:val="20"/>
          <w:szCs w:val="20"/>
        </w:rPr>
        <w:t xml:space="preserve"> RACH performance. </w:t>
      </w:r>
    </w:p>
    <w:p w:rsidR="00DD0C31" w:rsidRDefault="00DB30B7" w:rsidP="00C030CA">
      <w:pPr>
        <w:spacing w:afterLines="50"/>
        <w:jc w:val="both"/>
        <w:rPr>
          <w:rFonts w:ascii="Times New Roman" w:hAnsi="Times New Roman"/>
          <w:sz w:val="20"/>
          <w:szCs w:val="20"/>
        </w:rPr>
      </w:pPr>
      <w:r>
        <w:rPr>
          <w:rFonts w:ascii="Times New Roman" w:hAnsi="Times New Roman" w:hint="eastAsia"/>
          <w:sz w:val="20"/>
          <w:szCs w:val="20"/>
        </w:rPr>
        <w:t xml:space="preserve">For the payload-only scheme, transmitter side non-orthogonal </w:t>
      </w:r>
      <w:r>
        <w:rPr>
          <w:rFonts w:ascii="Times New Roman" w:hAnsi="Times New Roman"/>
          <w:sz w:val="20"/>
          <w:szCs w:val="20"/>
        </w:rPr>
        <w:t>spreading</w:t>
      </w:r>
      <w:r>
        <w:rPr>
          <w:rFonts w:ascii="Times New Roman" w:hAnsi="Times New Roman" w:hint="eastAsia"/>
          <w:sz w:val="20"/>
          <w:szCs w:val="20"/>
        </w:rPr>
        <w:t xml:space="preserve"> and advanced receiver</w:t>
      </w:r>
      <w:r w:rsidR="00AF51D9">
        <w:rPr>
          <w:rFonts w:ascii="Times New Roman" w:hAnsi="Times New Roman" w:hint="eastAsia"/>
          <w:sz w:val="20"/>
          <w:szCs w:val="20"/>
        </w:rPr>
        <w:t xml:space="preserve"> </w:t>
      </w:r>
      <w:r w:rsidR="00A2146D">
        <w:rPr>
          <w:rFonts w:ascii="Times New Roman" w:hAnsi="Times New Roman"/>
          <w:sz w:val="20"/>
          <w:szCs w:val="20"/>
        </w:rPr>
        <w:t xml:space="preserve">can be </w:t>
      </w:r>
      <w:r>
        <w:rPr>
          <w:rFonts w:ascii="Times New Roman" w:hAnsi="Times New Roman" w:hint="eastAsia"/>
          <w:sz w:val="20"/>
          <w:szCs w:val="20"/>
        </w:rPr>
        <w:t>applied</w:t>
      </w:r>
      <w:r w:rsidR="00A2146D">
        <w:rPr>
          <w:rFonts w:ascii="Times New Roman" w:hAnsi="Times New Roman"/>
          <w:sz w:val="20"/>
          <w:szCs w:val="20"/>
        </w:rPr>
        <w:t xml:space="preserve"> to </w:t>
      </w:r>
      <w:r>
        <w:rPr>
          <w:rFonts w:ascii="Times New Roman" w:hAnsi="Times New Roman" w:hint="eastAsia"/>
          <w:sz w:val="20"/>
          <w:szCs w:val="20"/>
        </w:rPr>
        <w:t>achieve good performance</w:t>
      </w:r>
      <w:r w:rsidR="00DF366A">
        <w:rPr>
          <w:rFonts w:ascii="Times New Roman" w:hAnsi="Times New Roman" w:hint="eastAsia"/>
          <w:sz w:val="20"/>
          <w:szCs w:val="20"/>
        </w:rPr>
        <w:t xml:space="preserve"> through blind multi-user detection including user identification, TA </w:t>
      </w:r>
      <w:r w:rsidR="00DF366A">
        <w:rPr>
          <w:rFonts w:ascii="Times New Roman" w:hAnsi="Times New Roman"/>
          <w:sz w:val="20"/>
          <w:szCs w:val="20"/>
        </w:rPr>
        <w:t>measurement</w:t>
      </w:r>
      <w:r w:rsidR="00DF366A">
        <w:rPr>
          <w:rFonts w:ascii="Times New Roman" w:hAnsi="Times New Roman" w:hint="eastAsia"/>
          <w:sz w:val="20"/>
          <w:szCs w:val="20"/>
        </w:rPr>
        <w:t xml:space="preserve"> and channel estimation,</w:t>
      </w:r>
      <w:r>
        <w:rPr>
          <w:rFonts w:ascii="Times New Roman" w:hAnsi="Times New Roman" w:hint="eastAsia"/>
          <w:sz w:val="20"/>
          <w:szCs w:val="20"/>
        </w:rPr>
        <w:t xml:space="preserve"> and at the same time</w:t>
      </w:r>
      <w:r w:rsidR="00A2146D">
        <w:rPr>
          <w:rFonts w:ascii="Times New Roman" w:hAnsi="Times New Roman" w:hint="eastAsia"/>
          <w:sz w:val="20"/>
          <w:szCs w:val="20"/>
        </w:rPr>
        <w:t xml:space="preserve"> </w:t>
      </w:r>
      <w:r w:rsidR="00DF366A">
        <w:rPr>
          <w:rFonts w:ascii="Times New Roman" w:hAnsi="Times New Roman" w:hint="eastAsia"/>
          <w:sz w:val="20"/>
          <w:szCs w:val="20"/>
        </w:rPr>
        <w:t>minimize the overhead</w:t>
      </w:r>
      <w:r w:rsidR="00B028F1">
        <w:rPr>
          <w:rFonts w:ascii="Times New Roman" w:hAnsi="Times New Roman" w:hint="eastAsia"/>
          <w:sz w:val="20"/>
          <w:szCs w:val="20"/>
        </w:rPr>
        <w:t xml:space="preserve"> and the collision problem</w:t>
      </w:r>
      <w:r w:rsidR="00AE0220">
        <w:rPr>
          <w:rFonts w:ascii="Times New Roman" w:hAnsi="Times New Roman" w:hint="eastAsia"/>
          <w:sz w:val="20"/>
          <w:szCs w:val="20"/>
        </w:rPr>
        <w:t xml:space="preserve">. </w:t>
      </w:r>
      <w:r w:rsidR="00997500" w:rsidRPr="00997500">
        <w:rPr>
          <w:rFonts w:ascii="Times New Roman" w:hAnsi="Times New Roman"/>
          <w:sz w:val="20"/>
          <w:szCs w:val="20"/>
        </w:rPr>
        <w:t>In this solution,</w:t>
      </w:r>
      <w:r w:rsidR="007C7E9B" w:rsidRPr="00997500">
        <w:rPr>
          <w:rFonts w:ascii="Times New Roman" w:hAnsi="Times New Roman"/>
          <w:sz w:val="20"/>
          <w:szCs w:val="20"/>
        </w:rPr>
        <w:t xml:space="preserve"> Msg1 </w:t>
      </w:r>
      <w:r w:rsidR="008000E5">
        <w:rPr>
          <w:rFonts w:ascii="Times New Roman" w:hAnsi="Times New Roman"/>
          <w:sz w:val="20"/>
          <w:szCs w:val="20"/>
        </w:rPr>
        <w:t>is indeed the</w:t>
      </w:r>
      <w:r w:rsidR="007C7E9B" w:rsidRPr="00997500">
        <w:rPr>
          <w:rFonts w:ascii="Times New Roman" w:hAnsi="Times New Roman"/>
          <w:sz w:val="20"/>
          <w:szCs w:val="20"/>
        </w:rPr>
        <w:t xml:space="preserve"> payload to convey a small </w:t>
      </w:r>
      <w:r w:rsidR="008000E5">
        <w:rPr>
          <w:rFonts w:ascii="Times New Roman" w:hAnsi="Times New Roman"/>
          <w:sz w:val="20"/>
          <w:szCs w:val="20"/>
        </w:rPr>
        <w:t>amount</w:t>
      </w:r>
      <w:r w:rsidR="008000E5" w:rsidRPr="00997500">
        <w:rPr>
          <w:rFonts w:ascii="Times New Roman" w:hAnsi="Times New Roman"/>
          <w:sz w:val="20"/>
          <w:szCs w:val="20"/>
        </w:rPr>
        <w:t xml:space="preserve"> </w:t>
      </w:r>
      <w:r w:rsidR="007C7E9B" w:rsidRPr="00997500">
        <w:rPr>
          <w:rFonts w:ascii="Times New Roman" w:hAnsi="Times New Roman"/>
          <w:sz w:val="20"/>
          <w:szCs w:val="20"/>
        </w:rPr>
        <w:t xml:space="preserve">of </w:t>
      </w:r>
      <w:r w:rsidR="008000E5">
        <w:rPr>
          <w:rFonts w:ascii="Times New Roman" w:hAnsi="Times New Roman"/>
          <w:sz w:val="20"/>
          <w:szCs w:val="20"/>
        </w:rPr>
        <w:t>information</w:t>
      </w:r>
      <w:r w:rsidR="008000E5" w:rsidRPr="00997500">
        <w:rPr>
          <w:rFonts w:ascii="Times New Roman" w:hAnsi="Times New Roman"/>
          <w:sz w:val="20"/>
          <w:szCs w:val="20"/>
        </w:rPr>
        <w:t xml:space="preserve"> </w:t>
      </w:r>
      <w:r w:rsidR="00A2146D">
        <w:rPr>
          <w:rFonts w:ascii="Times New Roman" w:hAnsi="Times New Roman"/>
          <w:sz w:val="20"/>
          <w:szCs w:val="20"/>
        </w:rPr>
        <w:t>as illustrated in</w:t>
      </w:r>
      <w:r w:rsidR="00AE14DD">
        <w:rPr>
          <w:rFonts w:ascii="Times New Roman" w:hAnsi="Times New Roman" w:hint="eastAsia"/>
          <w:sz w:val="20"/>
          <w:szCs w:val="20"/>
        </w:rPr>
        <w:t xml:space="preserve"> </w:t>
      </w:r>
      <w:fldSimple w:instr=" REF _Ref474096281 \h  \* MERGEFORMAT ">
        <w:r w:rsidR="00E527CD" w:rsidRPr="00E527CD">
          <w:rPr>
            <w:rFonts w:ascii="Times New Roman" w:hAnsi="Times New Roman"/>
            <w:sz w:val="20"/>
            <w:szCs w:val="20"/>
          </w:rPr>
          <w:t>Figure 1</w:t>
        </w:r>
      </w:fldSimple>
      <w:r w:rsidR="007C7E9B" w:rsidRPr="00997500">
        <w:rPr>
          <w:rFonts w:ascii="Times New Roman" w:hAnsi="Times New Roman"/>
          <w:sz w:val="20"/>
          <w:szCs w:val="20"/>
        </w:rPr>
        <w:t>.</w:t>
      </w:r>
    </w:p>
    <w:p w:rsidR="00E527CD" w:rsidRDefault="00F826DA" w:rsidP="00E527CD">
      <w:pPr>
        <w:keepNext/>
        <w:spacing w:line="264" w:lineRule="auto"/>
        <w:jc w:val="center"/>
      </w:pPr>
      <w:r>
        <w:rPr>
          <w:rFonts w:ascii="Times New Roman" w:hAnsi="Times New Roman"/>
          <w:noProof/>
          <w:sz w:val="20"/>
          <w:szCs w:val="20"/>
        </w:rPr>
        <w:lastRenderedPageBreak/>
        <w:drawing>
          <wp:inline distT="0" distB="0" distL="0" distR="0">
            <wp:extent cx="2635747" cy="1583131"/>
            <wp:effectExtent l="0" t="0" r="0" b="0"/>
            <wp:docPr id="6"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635747" cy="1583131"/>
                      <a:chOff x="5780889" y="309860"/>
                      <a:chExt cx="2635747" cy="1583131"/>
                    </a:xfrm>
                  </a:grpSpPr>
                  <a:grpSp>
                    <a:nvGrpSpPr>
                      <a:cNvPr id="78" name="组合 77"/>
                      <a:cNvGrpSpPr/>
                    </a:nvGrpSpPr>
                    <a:grpSpPr>
                      <a:xfrm>
                        <a:off x="5780889" y="309860"/>
                        <a:ext cx="2635747" cy="1583131"/>
                        <a:chOff x="6060289" y="340111"/>
                        <a:chExt cx="2721761" cy="1707939"/>
                      </a:xfrm>
                    </a:grpSpPr>
                    <a:grpSp>
                      <a:nvGrpSpPr>
                        <a:cNvPr id="3" name="组合 74"/>
                        <a:cNvGrpSpPr/>
                      </a:nvGrpSpPr>
                      <a:grpSpPr>
                        <a:xfrm>
                          <a:off x="6074497" y="340112"/>
                          <a:ext cx="2707012" cy="1707938"/>
                          <a:chOff x="6074497" y="1243082"/>
                          <a:chExt cx="2707012" cy="1707938"/>
                        </a:xfrm>
                      </a:grpSpPr>
                      <a:grpSp>
                        <a:nvGrpSpPr>
                          <a:cNvPr id="6" name="组合 351"/>
                          <a:cNvGrpSpPr/>
                        </a:nvGrpSpPr>
                        <a:grpSpPr>
                          <a:xfrm>
                            <a:off x="6074497" y="1243082"/>
                            <a:ext cx="2707012" cy="1700322"/>
                            <a:chOff x="5936102" y="2265018"/>
                            <a:chExt cx="2861408" cy="1797182"/>
                          </a:xfrm>
                        </a:grpSpPr>
                        <a:cxnSp>
                          <a:nvCxnSpPr>
                            <a:cNvPr id="31" name="直接连接符 30"/>
                            <a:cNvCxnSpPr/>
                          </a:nvCxnSpPr>
                          <a:spPr bwMode="auto">
                            <a:xfrm rot="5400000">
                              <a:off x="7594000" y="3174883"/>
                              <a:ext cx="1768167" cy="6468"/>
                            </a:xfrm>
                            <a:prstGeom prst="line">
                              <a:avLst/>
                            </a:prstGeom>
                            <a:solidFill>
                              <a:srgbClr val="4F81BD"/>
                            </a:solidFill>
                            <a:ln w="9525" cap="flat" cmpd="sng" algn="ctr">
                              <a:solidFill>
                                <a:srgbClr val="008ED3"/>
                              </a:solidFill>
                              <a:prstDash val="solid"/>
                              <a:round/>
                              <a:headEnd type="none" w="med" len="med"/>
                              <a:tailEnd type="none" w="med" len="med"/>
                            </a:ln>
                            <a:effectLst/>
                          </a:spPr>
                        </a:cxnSp>
                        <a:sp>
                          <a:nvSpPr>
                            <a:cNvPr id="35" name="圆角矩形 34"/>
                            <a:cNvSpPr/>
                          </a:nvSpPr>
                          <a:spPr bwMode="auto">
                            <a:xfrm>
                              <a:off x="5936102" y="2270520"/>
                              <a:ext cx="630319" cy="206473"/>
                            </a:xfrm>
                            <a:prstGeom prst="roundRect">
                              <a:avLst/>
                            </a:prstGeom>
                            <a:solidFill>
                              <a:sysClr val="window" lastClr="FFFFFF"/>
                            </a:solidFill>
                            <a:ln w="9525" cap="flat" cmpd="sng" algn="ctr">
                              <a:solidFill>
                                <a:srgbClr val="008ED3"/>
                              </a:solidFill>
                              <a:prstDash val="solid"/>
                              <a:round/>
                              <a:headEnd type="none" w="med" len="med"/>
                              <a:tailEnd type="none" w="med" len="med"/>
                            </a:ln>
                            <a:effectLst/>
                          </a:spPr>
                          <a:txSp>
                            <a:txBody>
                              <a:bodyPr vert="horz" wrap="square" lIns="36000" tIns="36000" rIns="36000" bIns="36000" numCol="1" rtlCol="0" anchor="ctr" anchorCtr="1"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defRPr/>
                                </a:pPr>
                                <a:r>
                                  <a:rPr lang="en-US" altLang="zh-CN" sz="1000" kern="0" dirty="0" smtClean="0">
                                    <a:solidFill>
                                      <a:srgbClr val="000000"/>
                                    </a:solidFill>
                                    <a:latin typeface="Arial" pitchFamily="34" charset="0"/>
                                    <a:cs typeface="+mn-cs"/>
                                  </a:rPr>
                                  <a:t>UE</a:t>
                                </a:r>
                                <a:endParaRPr lang="zh-CN" altLang="en-US" sz="1000" kern="0" dirty="0" smtClean="0">
                                  <a:solidFill>
                                    <a:srgbClr val="000000"/>
                                  </a:solidFill>
                                  <a:latin typeface="Arial" pitchFamily="34" charset="0"/>
                                  <a:cs typeface="+mn-cs"/>
                                </a:endParaRPr>
                              </a:p>
                            </a:txBody>
                            <a:useSpRect/>
                          </a:txSp>
                        </a:sp>
                        <a:sp>
                          <a:nvSpPr>
                            <a:cNvPr id="36" name="圆角矩形 35"/>
                            <a:cNvSpPr/>
                          </a:nvSpPr>
                          <a:spPr bwMode="auto">
                            <a:xfrm>
                              <a:off x="8152077" y="2265018"/>
                              <a:ext cx="645433" cy="199737"/>
                            </a:xfrm>
                            <a:prstGeom prst="roundRect">
                              <a:avLst/>
                            </a:prstGeom>
                            <a:solidFill>
                              <a:sysClr val="window" lastClr="FFFFFF"/>
                            </a:solidFill>
                            <a:ln w="9525" cap="flat" cmpd="sng" algn="ctr">
                              <a:solidFill>
                                <a:srgbClr val="008ED3"/>
                              </a:solidFill>
                              <a:prstDash val="solid"/>
                              <a:round/>
                              <a:headEnd type="none" w="med" len="med"/>
                              <a:tailEnd type="none" w="med" len="med"/>
                            </a:ln>
                            <a:effectLst/>
                          </a:spPr>
                          <a:txSp>
                            <a:txBody>
                              <a:bodyPr vert="horz" wrap="square" lIns="36000" tIns="36000" rIns="36000" bIns="36000" numCol="1" rtlCol="0" anchor="ctr" anchorCtr="1"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defRPr/>
                                </a:pPr>
                                <a:r>
                                  <a:rPr lang="en-US" altLang="zh-CN" sz="1200" kern="0" dirty="0" smtClean="0">
                                    <a:solidFill>
                                      <a:srgbClr val="000000"/>
                                    </a:solidFill>
                                    <a:latin typeface="Arial" pitchFamily="34" charset="0"/>
                                    <a:cs typeface="+mn-cs"/>
                                  </a:rPr>
                                  <a:t> </a:t>
                                </a:r>
                                <a:r>
                                  <a:rPr lang="en-US" altLang="zh-CN" sz="1000" kern="0" dirty="0" smtClean="0">
                                    <a:solidFill>
                                      <a:srgbClr val="000000"/>
                                    </a:solidFill>
                                    <a:latin typeface="Arial" pitchFamily="34" charset="0"/>
                                    <a:cs typeface="+mn-cs"/>
                                  </a:rPr>
                                  <a:t>NR </a:t>
                                </a:r>
                                <a:r>
                                  <a:rPr lang="en-US" altLang="zh-CN" sz="1000" kern="0" dirty="0" smtClean="0">
                                    <a:solidFill>
                                      <a:srgbClr val="000000"/>
                                    </a:solidFill>
                                    <a:latin typeface="Arial" pitchFamily="34" charset="0"/>
                                    <a:cs typeface="+mn-cs"/>
                                  </a:rPr>
                                  <a:t>NB</a:t>
                                </a:r>
                                <a:endParaRPr lang="zh-CN" altLang="en-US" sz="1000" kern="0" dirty="0" smtClean="0">
                                  <a:solidFill>
                                    <a:srgbClr val="000000"/>
                                  </a:solidFill>
                                  <a:latin typeface="Arial" pitchFamily="34" charset="0"/>
                                  <a:cs typeface="+mn-cs"/>
                                </a:endParaRPr>
                              </a:p>
                            </a:txBody>
                            <a:useSpRect/>
                          </a:txSp>
                        </a:sp>
                        <a:sp>
                          <a:nvSpPr>
                            <a:cNvPr id="37" name="右箭头 36"/>
                            <a:cNvSpPr/>
                          </a:nvSpPr>
                          <a:spPr bwMode="auto">
                            <a:xfrm flipH="1">
                              <a:off x="6154717" y="2556637"/>
                              <a:ext cx="2324367" cy="130232"/>
                            </a:xfrm>
                            <a:prstGeom prst="rightArrow">
                              <a:avLst>
                                <a:gd name="adj1" fmla="val 35333"/>
                                <a:gd name="adj2" fmla="val 59778"/>
                              </a:avLst>
                            </a:prstGeom>
                            <a:noFill/>
                            <a:ln w="9525" cap="flat" cmpd="sng" algn="ctr">
                              <a:solidFill>
                                <a:srgbClr val="FFFF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defRPr/>
                                </a:pPr>
                                <a:endParaRPr lang="zh-CN" altLang="en-US" sz="1000" kern="0" smtClean="0">
                                  <a:solidFill>
                                    <a:sysClr val="windowText" lastClr="000000"/>
                                  </a:solidFill>
                                  <a:latin typeface="Arial" pitchFamily="34" charset="0"/>
                                  <a:cs typeface="+mn-cs"/>
                                </a:endParaRPr>
                              </a:p>
                            </a:txBody>
                            <a:useSpRect/>
                          </a:txSp>
                        </a:sp>
                        <a:sp>
                          <a:nvSpPr>
                            <a:cNvPr id="38" name="矩形 37"/>
                            <a:cNvSpPr/>
                          </a:nvSpPr>
                          <a:spPr>
                            <a:xfrm>
                              <a:off x="6137931" y="2643529"/>
                              <a:ext cx="1071512" cy="280764"/>
                            </a:xfrm>
                            <a:prstGeom prst="rect">
                              <a:avLst/>
                            </a:prstGeom>
                            <a:ln>
                              <a:noFill/>
                            </a:ln>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defTabSz="914400" fontAlgn="auto">
                                  <a:spcBef>
                                    <a:spcPts val="0"/>
                                  </a:spcBef>
                                  <a:spcAft>
                                    <a:spcPts val="0"/>
                                  </a:spcAft>
                                  <a:buFontTx/>
                                  <a:buNone/>
                                  <a:defRPr/>
                                </a:pPr>
                                <a:r>
                                  <a:rPr lang="en-US" altLang="zh-CN" sz="1000" kern="0" dirty="0" smtClean="0">
                                    <a:solidFill>
                                      <a:schemeClr val="bg1">
                                        <a:lumMod val="65000"/>
                                      </a:schemeClr>
                                    </a:solidFill>
                                    <a:latin typeface="Arial" pitchFamily="34" charset="0"/>
                                    <a:cs typeface="+mn-cs"/>
                                  </a:rPr>
                                  <a:t>(RA preamble)</a:t>
                                </a:r>
                                <a:endParaRPr lang="zh-CN" altLang="en-US" sz="1000" kern="0" dirty="0" smtClean="0">
                                  <a:solidFill>
                                    <a:schemeClr val="bg1">
                                      <a:lumMod val="65000"/>
                                    </a:schemeClr>
                                  </a:solidFill>
                                  <a:latin typeface="Arial" pitchFamily="34" charset="0"/>
                                  <a:cs typeface="+mn-cs"/>
                                </a:endParaRPr>
                              </a:p>
                            </a:txBody>
                            <a:useSpRect/>
                          </a:txSp>
                        </a:sp>
                      </a:grpSp>
                      <a:sp>
                        <a:nvSpPr>
                          <a:cNvPr id="42" name="矩形 41"/>
                          <a:cNvSpPr/>
                        </a:nvSpPr>
                        <a:spPr>
                          <a:xfrm>
                            <a:off x="6252989" y="1798226"/>
                            <a:ext cx="1406140" cy="431653"/>
                          </a:xfrm>
                          <a:prstGeom prst="rect">
                            <a:avLst/>
                          </a:prstGeom>
                          <a:ln>
                            <a:noFill/>
                          </a:ln>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defTabSz="914400" fontAlgn="auto">
                                <a:spcBef>
                                  <a:spcPts val="0"/>
                                </a:spcBef>
                                <a:spcAft>
                                  <a:spcPts val="0"/>
                                </a:spcAft>
                                <a:buFontTx/>
                                <a:buNone/>
                                <a:defRPr/>
                              </a:pPr>
                              <a:r>
                                <a:rPr lang="en-US" altLang="zh-CN" sz="1000" kern="0" dirty="0" smtClean="0">
                                  <a:solidFill>
                                    <a:srgbClr val="000000"/>
                                  </a:solidFill>
                                  <a:latin typeface="Arial" pitchFamily="34" charset="0"/>
                                  <a:cs typeface="+mn-cs"/>
                                </a:rPr>
                                <a:t>Msg. </a:t>
                              </a:r>
                              <a:r>
                                <a:rPr lang="en-US" altLang="zh-CN" sz="1000" kern="0" dirty="0" smtClean="0">
                                  <a:solidFill>
                                    <a:srgbClr val="000000"/>
                                  </a:solidFill>
                                  <a:latin typeface="Arial" pitchFamily="34" charset="0"/>
                                  <a:cs typeface="+mn-cs"/>
                                </a:rPr>
                                <a:t>1, C-RNTI/ID, Small </a:t>
                              </a:r>
                              <a:r>
                                <a:rPr lang="en-US" altLang="zh-CN" sz="1000" kern="0" dirty="0" smtClean="0">
                                  <a:solidFill>
                                    <a:srgbClr val="000000"/>
                                  </a:solidFill>
                                  <a:latin typeface="Arial" pitchFamily="34" charset="0"/>
                                </a:rPr>
                                <a:t>D</a:t>
                              </a:r>
                              <a:r>
                                <a:rPr lang="en-US" altLang="zh-CN" sz="1000" kern="0" dirty="0" smtClean="0">
                                  <a:solidFill>
                                    <a:srgbClr val="000000"/>
                                  </a:solidFill>
                                  <a:latin typeface="Arial" pitchFamily="34" charset="0"/>
                                  <a:cs typeface="+mn-cs"/>
                                </a:rPr>
                                <a:t>ata</a:t>
                              </a:r>
                              <a:endParaRPr lang="zh-CN" altLang="en-US" sz="1000" kern="0" dirty="0" smtClean="0">
                                <a:solidFill>
                                  <a:srgbClr val="000000"/>
                                </a:solidFill>
                                <a:latin typeface="Arial" pitchFamily="34" charset="0"/>
                                <a:cs typeface="+mn-cs"/>
                              </a:endParaRPr>
                            </a:p>
                          </a:txBody>
                          <a:useSpRect/>
                        </a:txSp>
                      </a:sp>
                      <a:sp>
                        <a:nvSpPr>
                          <a:cNvPr id="47" name="右箭头 46"/>
                          <a:cNvSpPr/>
                        </a:nvSpPr>
                        <a:spPr bwMode="auto">
                          <a:xfrm flipH="1">
                            <a:off x="6271930" y="2279934"/>
                            <a:ext cx="2199092" cy="123213"/>
                          </a:xfrm>
                          <a:prstGeom prst="rightArrow">
                            <a:avLst>
                              <a:gd name="adj1" fmla="val 35333"/>
                              <a:gd name="adj2" fmla="val 59778"/>
                            </a:avLst>
                          </a:prstGeom>
                          <a:noFill/>
                          <a:ln w="9525" cap="flat" cmpd="sng" algn="ctr">
                            <a:solidFill>
                              <a:srgbClr val="FF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defRPr/>
                              </a:pPr>
                              <a:endParaRPr lang="zh-CN" altLang="en-US" sz="1000" kern="0" smtClean="0">
                                <a:solidFill>
                                  <a:sysClr val="windowText" lastClr="000000"/>
                                </a:solidFill>
                                <a:latin typeface="Arial" pitchFamily="34" charset="0"/>
                                <a:cs typeface="+mn-cs"/>
                              </a:endParaRPr>
                            </a:p>
                          </a:txBody>
                          <a:useSpRect/>
                        </a:txSp>
                      </a:sp>
                      <a:sp>
                        <a:nvSpPr>
                          <a:cNvPr id="51" name="矩形 50"/>
                          <a:cNvSpPr/>
                        </a:nvSpPr>
                        <a:spPr>
                          <a:xfrm>
                            <a:off x="7512693" y="1375430"/>
                            <a:ext cx="798988" cy="246221"/>
                          </a:xfrm>
                          <a:prstGeom prst="rect">
                            <a:avLst/>
                          </a:prstGeom>
                          <a:ln>
                            <a:noFill/>
                          </a:ln>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lgn="r" defTabSz="914400" fontAlgn="auto">
                                <a:spcBef>
                                  <a:spcPts val="0"/>
                                </a:spcBef>
                                <a:spcAft>
                                  <a:spcPts val="0"/>
                                </a:spcAft>
                                <a:buFontTx/>
                                <a:buNone/>
                                <a:defRPr/>
                              </a:pPr>
                              <a:r>
                                <a:rPr lang="en-US" altLang="zh-CN" sz="1000" kern="0" dirty="0" smtClean="0">
                                  <a:solidFill>
                                    <a:srgbClr val="000000"/>
                                  </a:solidFill>
                                  <a:latin typeface="Arial" pitchFamily="34" charset="0"/>
                                  <a:cs typeface="+mn-cs"/>
                                </a:rPr>
                                <a:t>DL Synch.</a:t>
                              </a:r>
                              <a:endParaRPr lang="zh-CN" altLang="en-US" sz="1000" kern="0" dirty="0" smtClean="0">
                                <a:solidFill>
                                  <a:srgbClr val="000000"/>
                                </a:solidFill>
                                <a:latin typeface="Arial" pitchFamily="34" charset="0"/>
                                <a:cs typeface="+mn-cs"/>
                              </a:endParaRPr>
                            </a:p>
                          </a:txBody>
                          <a:useSpRect/>
                        </a:txSp>
                      </a:sp>
                      <a:sp>
                        <a:nvSpPr>
                          <a:cNvPr id="52" name="右箭头 51"/>
                          <a:cNvSpPr/>
                        </a:nvSpPr>
                        <a:spPr bwMode="auto">
                          <a:xfrm flipH="1">
                            <a:off x="6282888" y="2491709"/>
                            <a:ext cx="2199092" cy="123213"/>
                          </a:xfrm>
                          <a:prstGeom prst="rightArrow">
                            <a:avLst>
                              <a:gd name="adj1" fmla="val 35333"/>
                              <a:gd name="adj2" fmla="val 59778"/>
                            </a:avLst>
                          </a:prstGeom>
                          <a:noFill/>
                          <a:ln w="9525" cap="flat" cmpd="sng" algn="ctr">
                            <a:solidFill>
                              <a:srgbClr val="FF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defRPr/>
                              </a:pPr>
                              <a:endParaRPr lang="zh-CN" altLang="en-US" sz="1000" kern="0" smtClean="0">
                                <a:solidFill>
                                  <a:sysClr val="windowText" lastClr="000000"/>
                                </a:solidFill>
                                <a:latin typeface="Arial" pitchFamily="34" charset="0"/>
                                <a:cs typeface="+mn-cs"/>
                              </a:endParaRPr>
                            </a:p>
                          </a:txBody>
                          <a:useSpRect/>
                        </a:txSp>
                      </a:sp>
                      <a:sp>
                        <a:nvSpPr>
                          <a:cNvPr id="56" name="矩形 55"/>
                          <a:cNvSpPr/>
                        </a:nvSpPr>
                        <a:spPr>
                          <a:xfrm>
                            <a:off x="7279575" y="2106771"/>
                            <a:ext cx="1217165" cy="246221"/>
                          </a:xfrm>
                          <a:prstGeom prst="rect">
                            <a:avLst/>
                          </a:prstGeom>
                          <a:ln>
                            <a:noFill/>
                          </a:ln>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lgn="r" defTabSz="914400" fontAlgn="auto">
                                <a:spcBef>
                                  <a:spcPts val="0"/>
                                </a:spcBef>
                                <a:spcAft>
                                  <a:spcPts val="0"/>
                                </a:spcAft>
                                <a:buFontTx/>
                                <a:buNone/>
                                <a:defRPr/>
                              </a:pPr>
                              <a:r>
                                <a:rPr lang="en-US" altLang="zh-CN" sz="1000" kern="0" dirty="0" smtClean="0">
                                  <a:solidFill>
                                    <a:srgbClr val="000000"/>
                                  </a:solidFill>
                                  <a:latin typeface="Arial" pitchFamily="34" charset="0"/>
                                  <a:cs typeface="+mn-cs"/>
                                </a:rPr>
                                <a:t>RA response, TA</a:t>
                              </a:r>
                              <a:endParaRPr lang="zh-CN" altLang="en-US" sz="1000" kern="0" dirty="0" smtClean="0">
                                <a:solidFill>
                                  <a:srgbClr val="000000"/>
                                </a:solidFill>
                                <a:latin typeface="Arial" pitchFamily="34" charset="0"/>
                                <a:cs typeface="+mn-cs"/>
                              </a:endParaRPr>
                            </a:p>
                          </a:txBody>
                          <a:useSpRect/>
                        </a:txSp>
                      </a:sp>
                      <a:sp>
                        <a:nvSpPr>
                          <a:cNvPr id="57" name="矩形 56"/>
                          <a:cNvSpPr/>
                        </a:nvSpPr>
                        <a:spPr>
                          <a:xfrm>
                            <a:off x="6475352" y="2332973"/>
                            <a:ext cx="2058350" cy="265632"/>
                          </a:xfrm>
                          <a:prstGeom prst="rect">
                            <a:avLst/>
                          </a:prstGeom>
                          <a:ln>
                            <a:noFill/>
                          </a:ln>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lgn="r" defTabSz="914400" fontAlgn="auto">
                                <a:spcBef>
                                  <a:spcPts val="0"/>
                                </a:spcBef>
                                <a:spcAft>
                                  <a:spcPts val="0"/>
                                </a:spcAft>
                                <a:buFontTx/>
                                <a:buNone/>
                                <a:defRPr/>
                              </a:pPr>
                              <a:r>
                                <a:rPr lang="en-US" altLang="zh-CN" sz="1000" kern="0" dirty="0" smtClean="0">
                                  <a:solidFill>
                                    <a:srgbClr val="000000"/>
                                  </a:solidFill>
                                  <a:latin typeface="Arial" pitchFamily="34" charset="0"/>
                                  <a:cs typeface="+mn-cs"/>
                                </a:rPr>
                                <a:t>Contention </a:t>
                              </a:r>
                              <a:r>
                                <a:rPr lang="en-US" altLang="zh-CN" sz="1000" kern="0" dirty="0" smtClean="0">
                                  <a:solidFill>
                                    <a:srgbClr val="000000"/>
                                  </a:solidFill>
                                  <a:latin typeface="Arial" pitchFamily="34" charset="0"/>
                                  <a:cs typeface="+mn-cs"/>
                                </a:rPr>
                                <a:t>resolution</a:t>
                              </a:r>
                              <a:endParaRPr lang="zh-CN" altLang="en-US" sz="1000" kern="0" dirty="0" smtClean="0">
                                <a:solidFill>
                                  <a:srgbClr val="000000"/>
                                </a:solidFill>
                                <a:latin typeface="Arial" pitchFamily="34" charset="0"/>
                                <a:cs typeface="+mn-cs"/>
                              </a:endParaRPr>
                            </a:p>
                          </a:txBody>
                          <a:useSpRect/>
                        </a:txSp>
                      </a:sp>
                      <a:sp>
                        <a:nvSpPr>
                          <a:cNvPr id="58" name="右箭头 57"/>
                          <a:cNvSpPr/>
                        </a:nvSpPr>
                        <a:spPr bwMode="auto">
                          <a:xfrm>
                            <a:off x="6277458" y="2782946"/>
                            <a:ext cx="2199092" cy="123213"/>
                          </a:xfrm>
                          <a:prstGeom prst="rightArrow">
                            <a:avLst>
                              <a:gd name="adj1" fmla="val 35333"/>
                              <a:gd name="adj2" fmla="val 59778"/>
                            </a:avLst>
                          </a:prstGeom>
                          <a:noFill/>
                          <a:ln w="9525" cap="flat" cmpd="sng" algn="ctr">
                            <a:solidFill>
                              <a:srgbClr val="00B05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defRPr/>
                              </a:pPr>
                              <a:endParaRPr lang="zh-CN" altLang="en-US" sz="1000" kern="0" smtClean="0">
                                <a:solidFill>
                                  <a:sysClr val="windowText" lastClr="000000"/>
                                </a:solidFill>
                                <a:latin typeface="Arial" pitchFamily="34" charset="0"/>
                                <a:cs typeface="+mn-cs"/>
                              </a:endParaRPr>
                            </a:p>
                          </a:txBody>
                          <a:useSpRect/>
                        </a:txSp>
                      </a:sp>
                      <a:sp>
                        <a:nvSpPr>
                          <a:cNvPr id="59" name="矩形 58"/>
                          <a:cNvSpPr/>
                        </a:nvSpPr>
                        <a:spPr>
                          <a:xfrm>
                            <a:off x="6200775" y="2640637"/>
                            <a:ext cx="1449621" cy="246221"/>
                          </a:xfrm>
                          <a:prstGeom prst="rect">
                            <a:avLst/>
                          </a:prstGeom>
                          <a:ln>
                            <a:noFill/>
                          </a:ln>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defTabSz="914400" fontAlgn="auto">
                                <a:spcBef>
                                  <a:spcPts val="0"/>
                                </a:spcBef>
                                <a:spcAft>
                                  <a:spcPts val="0"/>
                                </a:spcAft>
                                <a:buFontTx/>
                                <a:buNone/>
                                <a:defRPr/>
                              </a:pPr>
                              <a:r>
                                <a:rPr lang="en-US" altLang="zh-CN" sz="1000" kern="0" dirty="0" smtClean="0">
                                  <a:solidFill>
                                    <a:srgbClr val="000000"/>
                                  </a:solidFill>
                                  <a:latin typeface="Arial" pitchFamily="34" charset="0"/>
                                  <a:cs typeface="+mn-cs"/>
                                </a:rPr>
                                <a:t>Data Transmission </a:t>
                              </a:r>
                              <a:endParaRPr lang="zh-CN" altLang="en-US" sz="1000" kern="0" dirty="0">
                                <a:solidFill>
                                  <a:srgbClr val="000000"/>
                                </a:solidFill>
                                <a:latin typeface="Arial" pitchFamily="34" charset="0"/>
                                <a:cs typeface="+mn-cs"/>
                              </a:endParaRPr>
                            </a:p>
                          </a:txBody>
                          <a:useSpRect/>
                        </a:txSp>
                      </a:sp>
                      <a:cxnSp>
                        <a:nvCxnSpPr>
                          <a:cNvPr id="66" name="直接连接符 65"/>
                          <a:cNvCxnSpPr/>
                        </a:nvCxnSpPr>
                        <a:spPr bwMode="auto">
                          <a:xfrm rot="5400000">
                            <a:off x="5528442" y="2195652"/>
                            <a:ext cx="1498857" cy="11879"/>
                          </a:xfrm>
                          <a:prstGeom prst="line">
                            <a:avLst/>
                          </a:prstGeom>
                          <a:solidFill>
                            <a:srgbClr val="4F81BD"/>
                          </a:solidFill>
                          <a:ln w="9525" cap="flat" cmpd="sng" algn="ctr">
                            <a:solidFill>
                              <a:srgbClr val="008ED3"/>
                            </a:solidFill>
                            <a:prstDash val="solid"/>
                            <a:round/>
                            <a:headEnd type="none" w="med" len="med"/>
                            <a:tailEnd type="none" w="med" len="med"/>
                          </a:ln>
                          <a:effectLst/>
                        </a:spPr>
                      </a:cxnSp>
                      <a:sp>
                        <a:nvSpPr>
                          <a:cNvPr id="73" name="右箭头 72"/>
                          <a:cNvSpPr/>
                        </a:nvSpPr>
                        <a:spPr bwMode="auto">
                          <a:xfrm>
                            <a:off x="6290028" y="1765627"/>
                            <a:ext cx="2199092" cy="123213"/>
                          </a:xfrm>
                          <a:prstGeom prst="rightArrow">
                            <a:avLst>
                              <a:gd name="adj1" fmla="val 35333"/>
                              <a:gd name="adj2" fmla="val 59778"/>
                            </a:avLst>
                          </a:prstGeom>
                          <a:noFill/>
                          <a:ln w="9525" cap="flat" cmpd="sng" algn="ctr">
                            <a:solidFill>
                              <a:srgbClr val="008ED3"/>
                            </a:solidFill>
                            <a:prstDash val="sysDash"/>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defRPr/>
                              </a:pPr>
                              <a:endParaRPr lang="zh-CN" altLang="en-US" sz="1000" kern="0" smtClean="0">
                                <a:solidFill>
                                  <a:sysClr val="windowText" lastClr="000000"/>
                                </a:solidFill>
                                <a:latin typeface="Arial" pitchFamily="34" charset="0"/>
                                <a:cs typeface="+mn-cs"/>
                              </a:endParaRPr>
                            </a:p>
                          </a:txBody>
                          <a:useSpRect/>
                        </a:txSp>
                      </a:sp>
                      <a:sp>
                        <a:nvSpPr>
                          <a:cNvPr id="74" name="右箭头 73"/>
                          <a:cNvSpPr/>
                        </a:nvSpPr>
                        <a:spPr bwMode="auto">
                          <a:xfrm>
                            <a:off x="6282408" y="1951530"/>
                            <a:ext cx="2199092" cy="123213"/>
                          </a:xfrm>
                          <a:prstGeom prst="rightArrow">
                            <a:avLst>
                              <a:gd name="adj1" fmla="val 35333"/>
                              <a:gd name="adj2" fmla="val 59778"/>
                            </a:avLst>
                          </a:prstGeom>
                          <a:noFill/>
                          <a:ln w="9525" cap="flat" cmpd="sng" algn="ctr">
                            <a:solidFill>
                              <a:srgbClr val="008ED3"/>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defRPr/>
                              </a:pPr>
                              <a:endParaRPr lang="zh-CN" altLang="en-US" sz="1000" kern="0" smtClean="0">
                                <a:solidFill>
                                  <a:sysClr val="windowText" lastClr="000000"/>
                                </a:solidFill>
                                <a:latin typeface="Arial" pitchFamily="34" charset="0"/>
                                <a:cs typeface="+mn-cs"/>
                              </a:endParaRPr>
                            </a:p>
                          </a:txBody>
                          <a:useSpRect/>
                        </a:txSp>
                      </a:sp>
                    </a:grpSp>
                    <a:sp>
                      <a:nvSpPr>
                        <a:cNvPr id="76" name="矩形 75"/>
                        <a:cNvSpPr/>
                      </a:nvSpPr>
                      <a:spPr>
                        <a:xfrm>
                          <a:off x="6060289" y="855186"/>
                          <a:ext cx="192700" cy="247510"/>
                        </a:xfrm>
                        <a:prstGeom prst="rect">
                          <a:avLst/>
                        </a:prstGeom>
                        <a:ln>
                          <a:noFill/>
                        </a:ln>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lgn="ctr" defTabSz="914400" fontAlgn="auto">
                              <a:spcBef>
                                <a:spcPts val="0"/>
                              </a:spcBef>
                              <a:spcAft>
                                <a:spcPts val="0"/>
                              </a:spcAft>
                              <a:buFontTx/>
                              <a:buNone/>
                              <a:defRPr/>
                            </a:pPr>
                            <a:r>
                              <a:rPr lang="en-US" altLang="zh-CN" sz="1100" kern="0" dirty="0" smtClean="0">
                                <a:solidFill>
                                  <a:srgbClr val="000000"/>
                                </a:solidFill>
                                <a:latin typeface="Arial" pitchFamily="34" charset="0"/>
                                <a:cs typeface="+mn-cs"/>
                              </a:rPr>
                              <a:t>1</a:t>
                            </a:r>
                            <a:endParaRPr lang="zh-CN" altLang="en-US" sz="1100" kern="0" dirty="0">
                              <a:solidFill>
                                <a:srgbClr val="000000"/>
                              </a:solidFill>
                              <a:latin typeface="Arial" pitchFamily="34" charset="0"/>
                              <a:cs typeface="+mn-cs"/>
                            </a:endParaRPr>
                          </a:p>
                        </a:txBody>
                        <a:useSpRect/>
                      </a:txSp>
                    </a:sp>
                    <a:sp>
                      <a:nvSpPr>
                        <a:cNvPr id="77" name="矩形 76"/>
                        <a:cNvSpPr/>
                      </a:nvSpPr>
                      <a:spPr>
                        <a:xfrm>
                          <a:off x="6079339" y="1378447"/>
                          <a:ext cx="192700" cy="247510"/>
                        </a:xfrm>
                        <a:prstGeom prst="rect">
                          <a:avLst/>
                        </a:prstGeom>
                        <a:ln>
                          <a:noFill/>
                        </a:ln>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lgn="ctr" defTabSz="914400" fontAlgn="auto">
                              <a:spcBef>
                                <a:spcPts val="0"/>
                              </a:spcBef>
                              <a:spcAft>
                                <a:spcPts val="0"/>
                              </a:spcAft>
                              <a:buFontTx/>
                              <a:buNone/>
                              <a:defRPr/>
                            </a:pPr>
                            <a:r>
                              <a:rPr lang="en-US" altLang="zh-CN" sz="1100" kern="0" dirty="0" smtClean="0">
                                <a:solidFill>
                                  <a:srgbClr val="000000"/>
                                </a:solidFill>
                                <a:latin typeface="Arial" pitchFamily="34" charset="0"/>
                                <a:cs typeface="+mn-cs"/>
                              </a:rPr>
                              <a:t>2</a:t>
                            </a:r>
                            <a:endParaRPr lang="zh-CN" altLang="en-US" sz="1100" kern="0" dirty="0">
                              <a:solidFill>
                                <a:srgbClr val="000000"/>
                              </a:solidFill>
                              <a:latin typeface="Arial" pitchFamily="34" charset="0"/>
                              <a:cs typeface="+mn-cs"/>
                            </a:endParaRPr>
                          </a:p>
                        </a:txBody>
                        <a:useSpRect/>
                      </a:txSp>
                    </a:sp>
                  </a:grpSp>
                </lc:lockedCanvas>
              </a:graphicData>
            </a:graphic>
          </wp:inline>
        </w:drawing>
      </w:r>
    </w:p>
    <w:p w:rsidR="00E527CD" w:rsidRDefault="00E527CD" w:rsidP="00E527CD">
      <w:pPr>
        <w:pStyle w:val="Caption"/>
        <w:jc w:val="center"/>
        <w:rPr>
          <w:b w:val="0"/>
          <w:lang w:eastAsia="zh-CN"/>
        </w:rPr>
      </w:pPr>
      <w:bookmarkStart w:id="5" w:name="_Ref474096281"/>
      <w:r w:rsidRPr="00E527CD">
        <w:rPr>
          <w:b w:val="0"/>
        </w:rPr>
        <w:t xml:space="preserve">Figure </w:t>
      </w:r>
      <w:r w:rsidR="00DD0C31" w:rsidRPr="00E527CD">
        <w:rPr>
          <w:b w:val="0"/>
        </w:rPr>
        <w:fldChar w:fldCharType="begin"/>
      </w:r>
      <w:r w:rsidRPr="00E527CD">
        <w:rPr>
          <w:b w:val="0"/>
        </w:rPr>
        <w:instrText xml:space="preserve"> SEQ Figure \* ARABIC </w:instrText>
      </w:r>
      <w:r w:rsidR="00DD0C31" w:rsidRPr="00E527CD">
        <w:rPr>
          <w:b w:val="0"/>
        </w:rPr>
        <w:fldChar w:fldCharType="separate"/>
      </w:r>
      <w:r w:rsidR="00C510A7">
        <w:rPr>
          <w:b w:val="0"/>
          <w:noProof/>
        </w:rPr>
        <w:t>1</w:t>
      </w:r>
      <w:r w:rsidR="00DD0C31" w:rsidRPr="00E527CD">
        <w:rPr>
          <w:b w:val="0"/>
        </w:rPr>
        <w:fldChar w:fldCharType="end"/>
      </w:r>
      <w:bookmarkEnd w:id="5"/>
      <w:r w:rsidRPr="00E527CD">
        <w:rPr>
          <w:b w:val="0"/>
          <w:lang w:eastAsia="zh-CN"/>
        </w:rPr>
        <w:t xml:space="preserve"> </w:t>
      </w:r>
      <w:r w:rsidRPr="00E527CD">
        <w:rPr>
          <w:b w:val="0"/>
        </w:rPr>
        <w:t>Payload-only solution for 2-step RACH procedure</w:t>
      </w:r>
      <w:r w:rsidRPr="00E527CD">
        <w:rPr>
          <w:b w:val="0"/>
          <w:lang w:eastAsia="zh-CN"/>
        </w:rPr>
        <w:t>.</w:t>
      </w:r>
    </w:p>
    <w:p w:rsidR="0006015B" w:rsidRPr="00965D3E" w:rsidRDefault="0006015B" w:rsidP="0006015B">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965D3E">
        <w:rPr>
          <w:rFonts w:ascii="Times New Roman" w:hAnsi="Times New Roman" w:hint="eastAsia"/>
          <w:b/>
          <w:i/>
          <w:sz w:val="20"/>
          <w:szCs w:val="20"/>
          <w:lang w:val="en-GB"/>
        </w:rPr>
        <w:t>Observation</w:t>
      </w:r>
      <w:r>
        <w:rPr>
          <w:rFonts w:ascii="Times New Roman" w:hAnsi="Times New Roman" w:hint="eastAsia"/>
          <w:b/>
          <w:i/>
          <w:sz w:val="20"/>
          <w:szCs w:val="20"/>
          <w:lang w:val="en-GB"/>
        </w:rPr>
        <w:t>s 1</w:t>
      </w:r>
      <w:r w:rsidRPr="00965D3E">
        <w:rPr>
          <w:rFonts w:ascii="Times New Roman" w:hAnsi="Times New Roman" w:hint="eastAsia"/>
          <w:b/>
          <w:i/>
          <w:sz w:val="20"/>
          <w:szCs w:val="20"/>
          <w:lang w:val="en-GB"/>
        </w:rPr>
        <w:t xml:space="preserve">: If 2-step RACH used for UL synchronization, the TA measurement </w:t>
      </w:r>
      <w:r w:rsidRPr="00965D3E">
        <w:rPr>
          <w:rFonts w:ascii="Times New Roman" w:hAnsi="Times New Roman"/>
          <w:b/>
          <w:i/>
          <w:sz w:val="20"/>
          <w:szCs w:val="20"/>
          <w:lang w:val="en-GB"/>
        </w:rPr>
        <w:t>accuracy</w:t>
      </w:r>
      <w:r w:rsidRPr="00965D3E">
        <w:rPr>
          <w:rFonts w:ascii="Times New Roman" w:hAnsi="Times New Roman" w:hint="eastAsia"/>
          <w:b/>
          <w:i/>
          <w:sz w:val="20"/>
          <w:szCs w:val="20"/>
          <w:lang w:val="en-GB"/>
        </w:rPr>
        <w:t xml:space="preserve"> should </w:t>
      </w:r>
      <w:r w:rsidRPr="00965D3E">
        <w:rPr>
          <w:rFonts w:ascii="Times New Roman" w:hAnsi="Times New Roman"/>
          <w:b/>
          <w:i/>
          <w:sz w:val="20"/>
          <w:szCs w:val="20"/>
          <w:lang w:val="en-GB"/>
        </w:rPr>
        <w:t>fulfil</w:t>
      </w:r>
      <w:r w:rsidRPr="00965D3E">
        <w:rPr>
          <w:rFonts w:ascii="Times New Roman" w:hAnsi="Times New Roman" w:hint="eastAsia"/>
          <w:b/>
          <w:i/>
          <w:sz w:val="20"/>
          <w:szCs w:val="20"/>
          <w:lang w:val="en-GB"/>
        </w:rPr>
        <w:t xml:space="preserve"> different scenarios.</w:t>
      </w:r>
    </w:p>
    <w:p w:rsidR="0006015B" w:rsidRPr="00965D3E" w:rsidRDefault="0006015B" w:rsidP="0006015B">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965D3E">
        <w:rPr>
          <w:rFonts w:ascii="Times New Roman" w:hAnsi="Times New Roman" w:hint="eastAsia"/>
          <w:b/>
          <w:i/>
          <w:sz w:val="20"/>
          <w:szCs w:val="20"/>
          <w:lang w:val="en-GB"/>
        </w:rPr>
        <w:t>Observations</w:t>
      </w:r>
      <w:r>
        <w:rPr>
          <w:rFonts w:ascii="Times New Roman" w:hAnsi="Times New Roman" w:hint="eastAsia"/>
          <w:b/>
          <w:i/>
          <w:sz w:val="20"/>
          <w:szCs w:val="20"/>
          <w:lang w:val="en-GB"/>
        </w:rPr>
        <w:t xml:space="preserve"> 2:</w:t>
      </w:r>
      <w:r w:rsidRPr="00965D3E">
        <w:rPr>
          <w:rFonts w:ascii="Times New Roman" w:hAnsi="Times New Roman" w:hint="eastAsia"/>
          <w:b/>
          <w:i/>
          <w:sz w:val="20"/>
          <w:szCs w:val="20"/>
          <w:lang w:val="en-GB"/>
        </w:rPr>
        <w:t xml:space="preserve"> </w:t>
      </w:r>
      <w:r w:rsidRPr="00965D3E">
        <w:rPr>
          <w:rFonts w:ascii="Times New Roman" w:hAnsi="Times New Roman"/>
          <w:b/>
          <w:i/>
          <w:sz w:val="20"/>
          <w:szCs w:val="20"/>
          <w:lang w:val="en-GB"/>
        </w:rPr>
        <w:t>Further study is needed on w</w:t>
      </w:r>
      <w:r w:rsidRPr="00965D3E">
        <w:rPr>
          <w:rFonts w:ascii="Times New Roman" w:hAnsi="Times New Roman" w:hint="eastAsia"/>
          <w:b/>
          <w:i/>
          <w:sz w:val="20"/>
          <w:szCs w:val="20"/>
          <w:lang w:val="en-GB"/>
        </w:rPr>
        <w:t>hether the detection rate</w:t>
      </w:r>
      <w:r w:rsidRPr="00965D3E">
        <w:rPr>
          <w:rFonts w:ascii="Times New Roman" w:hAnsi="Times New Roman"/>
          <w:b/>
          <w:i/>
          <w:sz w:val="20"/>
          <w:szCs w:val="20"/>
          <w:lang w:val="en-GB"/>
        </w:rPr>
        <w:t>s</w:t>
      </w:r>
      <w:r w:rsidRPr="00965D3E">
        <w:rPr>
          <w:rFonts w:ascii="Times New Roman" w:hAnsi="Times New Roman" w:hint="eastAsia"/>
          <w:b/>
          <w:i/>
          <w:sz w:val="20"/>
          <w:szCs w:val="20"/>
          <w:lang w:val="en-GB"/>
        </w:rPr>
        <w:t xml:space="preserve"> </w:t>
      </w:r>
      <w:r w:rsidRPr="00965D3E">
        <w:rPr>
          <w:rFonts w:ascii="Times New Roman" w:hAnsi="Times New Roman"/>
          <w:b/>
          <w:i/>
          <w:sz w:val="20"/>
          <w:szCs w:val="20"/>
          <w:lang w:val="en-GB"/>
        </w:rPr>
        <w:t>of</w:t>
      </w:r>
      <w:r w:rsidRPr="00965D3E">
        <w:rPr>
          <w:rFonts w:ascii="Times New Roman" w:hAnsi="Times New Roman" w:hint="eastAsia"/>
          <w:b/>
          <w:i/>
          <w:sz w:val="20"/>
          <w:szCs w:val="20"/>
          <w:lang w:val="en-GB"/>
        </w:rPr>
        <w:t xml:space="preserve"> the preamble and payload </w:t>
      </w:r>
      <w:r w:rsidRPr="00965D3E">
        <w:rPr>
          <w:rFonts w:ascii="Times New Roman" w:hAnsi="Times New Roman"/>
          <w:b/>
          <w:i/>
          <w:sz w:val="20"/>
          <w:szCs w:val="20"/>
          <w:lang w:val="en-GB"/>
        </w:rPr>
        <w:t>should be comparable.</w:t>
      </w:r>
    </w:p>
    <w:p w:rsidR="0006015B" w:rsidRPr="00965D3E" w:rsidRDefault="0006015B" w:rsidP="0006015B">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965D3E">
        <w:rPr>
          <w:rFonts w:ascii="Times New Roman" w:hAnsi="Times New Roman" w:hint="eastAsia"/>
          <w:b/>
          <w:i/>
          <w:sz w:val="20"/>
          <w:szCs w:val="20"/>
          <w:lang w:val="en-GB"/>
        </w:rPr>
        <w:t>Observations</w:t>
      </w:r>
      <w:r>
        <w:rPr>
          <w:rFonts w:ascii="Times New Roman" w:hAnsi="Times New Roman" w:hint="eastAsia"/>
          <w:b/>
          <w:i/>
          <w:sz w:val="20"/>
          <w:szCs w:val="20"/>
          <w:lang w:val="en-GB"/>
        </w:rPr>
        <w:t xml:space="preserve"> 3: Spreading can mitigate the collision of payload of 2-step RACH.</w:t>
      </w:r>
    </w:p>
    <w:p w:rsidR="0006015B" w:rsidRPr="0006015B" w:rsidRDefault="0006015B" w:rsidP="0006015B">
      <w:pPr>
        <w:rPr>
          <w:lang w:val="en-GB"/>
        </w:rPr>
      </w:pPr>
    </w:p>
    <w:p w:rsidR="00E527CD" w:rsidRPr="00E527CD" w:rsidRDefault="00E527CD" w:rsidP="00E527CD">
      <w:pPr>
        <w:pStyle w:val="Heading2"/>
      </w:pPr>
      <w:r w:rsidRPr="00E527CD">
        <w:t>Payload-on</w:t>
      </w:r>
      <w:r w:rsidR="00F16454">
        <w:rPr>
          <w:rFonts w:hint="eastAsia"/>
        </w:rPr>
        <w:t>l</w:t>
      </w:r>
      <w:r w:rsidRPr="00E527CD">
        <w:t xml:space="preserve">y solution for </w:t>
      </w:r>
      <w:r w:rsidR="00EB1721">
        <w:rPr>
          <w:rFonts w:hint="eastAsia"/>
        </w:rPr>
        <w:t>2</w:t>
      </w:r>
      <w:r w:rsidRPr="00E527CD">
        <w:t>-step RACH</w:t>
      </w:r>
    </w:p>
    <w:p w:rsidR="007C7E9B" w:rsidRPr="00997500" w:rsidRDefault="00706699" w:rsidP="00997500">
      <w:pPr>
        <w:jc w:val="both"/>
        <w:rPr>
          <w:rFonts w:ascii="Times New Roman" w:hAnsi="Times New Roman"/>
          <w:sz w:val="20"/>
          <w:szCs w:val="20"/>
        </w:rPr>
      </w:pPr>
      <w:r>
        <w:rPr>
          <w:rFonts w:ascii="Times New Roman" w:hAnsi="Times New Roman"/>
          <w:sz w:val="20"/>
          <w:szCs w:val="20"/>
        </w:rPr>
        <w:t xml:space="preserve">In </w:t>
      </w:r>
      <w:r w:rsidR="004B6ED2">
        <w:rPr>
          <w:rFonts w:ascii="Times New Roman" w:hAnsi="Times New Roman" w:hint="eastAsia"/>
          <w:sz w:val="20"/>
          <w:szCs w:val="20"/>
        </w:rPr>
        <w:t>Payload</w:t>
      </w:r>
      <w:r>
        <w:rPr>
          <w:rFonts w:ascii="Times New Roman" w:hAnsi="Times New Roman"/>
          <w:sz w:val="20"/>
          <w:szCs w:val="20"/>
        </w:rPr>
        <w:t>-</w:t>
      </w:r>
      <w:r w:rsidR="007C7E9B" w:rsidRPr="00997500">
        <w:rPr>
          <w:rFonts w:ascii="Times New Roman" w:hAnsi="Times New Roman"/>
          <w:sz w:val="20"/>
          <w:szCs w:val="20"/>
        </w:rPr>
        <w:t xml:space="preserve">only </w:t>
      </w:r>
      <w:r w:rsidR="00FA790E">
        <w:rPr>
          <w:rFonts w:ascii="Times New Roman" w:hAnsi="Times New Roman"/>
          <w:sz w:val="20"/>
          <w:szCs w:val="20"/>
        </w:rPr>
        <w:t>solution</w:t>
      </w:r>
      <w:r>
        <w:rPr>
          <w:rFonts w:ascii="Times New Roman" w:hAnsi="Times New Roman"/>
          <w:sz w:val="20"/>
          <w:szCs w:val="20"/>
        </w:rPr>
        <w:t xml:space="preserve">, </w:t>
      </w:r>
      <w:r w:rsidR="00A2146D">
        <w:rPr>
          <w:rFonts w:ascii="Times New Roman" w:hAnsi="Times New Roman"/>
          <w:sz w:val="20"/>
          <w:szCs w:val="20"/>
        </w:rPr>
        <w:t>only data is transmitted.</w:t>
      </w:r>
      <w:r w:rsidR="007C7E9B" w:rsidRPr="00997500">
        <w:rPr>
          <w:rFonts w:ascii="Times New Roman" w:hAnsi="Times New Roman"/>
          <w:sz w:val="20"/>
          <w:szCs w:val="20"/>
        </w:rPr>
        <w:t xml:space="preserve"> </w:t>
      </w:r>
      <w:r w:rsidR="00A2146D">
        <w:rPr>
          <w:rFonts w:ascii="Times New Roman" w:hAnsi="Times New Roman"/>
          <w:sz w:val="20"/>
          <w:szCs w:val="20"/>
        </w:rPr>
        <w:t>If</w:t>
      </w:r>
      <w:r w:rsidR="007C7E9B" w:rsidRPr="00997500">
        <w:rPr>
          <w:rFonts w:ascii="Times New Roman" w:hAnsi="Times New Roman"/>
          <w:sz w:val="20"/>
          <w:szCs w:val="20"/>
        </w:rPr>
        <w:t xml:space="preserve"> needed</w:t>
      </w:r>
      <w:r w:rsidR="00A2146D">
        <w:rPr>
          <w:rFonts w:ascii="Times New Roman" w:hAnsi="Times New Roman"/>
          <w:sz w:val="20"/>
          <w:szCs w:val="20"/>
        </w:rPr>
        <w:t xml:space="preserve">, </w:t>
      </w:r>
      <w:r w:rsidR="007C7E9B" w:rsidRPr="00997500">
        <w:rPr>
          <w:rFonts w:ascii="Times New Roman" w:hAnsi="Times New Roman"/>
          <w:sz w:val="20"/>
          <w:szCs w:val="20"/>
        </w:rPr>
        <w:t xml:space="preserve">DMRS </w:t>
      </w:r>
      <w:r w:rsidR="00A2146D">
        <w:rPr>
          <w:rFonts w:ascii="Times New Roman" w:hAnsi="Times New Roman"/>
          <w:sz w:val="20"/>
          <w:szCs w:val="20"/>
        </w:rPr>
        <w:t>can also be transmitted</w:t>
      </w:r>
      <w:r w:rsidR="007C7E9B" w:rsidRPr="00997500">
        <w:rPr>
          <w:rFonts w:ascii="Times New Roman" w:hAnsi="Times New Roman"/>
          <w:sz w:val="20"/>
          <w:szCs w:val="20"/>
        </w:rPr>
        <w:t xml:space="preserve">. </w:t>
      </w:r>
      <w:r w:rsidR="00997500">
        <w:rPr>
          <w:rFonts w:ascii="Times New Roman" w:hAnsi="Times New Roman"/>
          <w:sz w:val="20"/>
          <w:szCs w:val="20"/>
        </w:rPr>
        <w:t>T</w:t>
      </w:r>
      <w:r w:rsidR="007C7E9B" w:rsidRPr="00997500">
        <w:rPr>
          <w:rFonts w:ascii="Times New Roman" w:hAnsi="Times New Roman"/>
          <w:sz w:val="20"/>
          <w:szCs w:val="20"/>
        </w:rPr>
        <w:t>he above-mentioned function</w:t>
      </w:r>
      <w:r w:rsidR="00997500">
        <w:rPr>
          <w:rFonts w:ascii="Times New Roman" w:hAnsi="Times New Roman"/>
          <w:sz w:val="20"/>
          <w:szCs w:val="20"/>
        </w:rPr>
        <w:t>s</w:t>
      </w:r>
      <w:r w:rsidR="007C7E9B" w:rsidRPr="00997500">
        <w:rPr>
          <w:rFonts w:ascii="Times New Roman" w:hAnsi="Times New Roman"/>
          <w:sz w:val="20"/>
          <w:szCs w:val="20"/>
        </w:rPr>
        <w:t xml:space="preserve"> such as user identification, TA measurement and channel estimation should be fulfilled by the payload itself. This can be done through the following two ways:</w:t>
      </w:r>
    </w:p>
    <w:p w:rsidR="00C12CC0" w:rsidRDefault="007C7E9B">
      <w:pPr>
        <w:pStyle w:val="ListParagraph"/>
        <w:numPr>
          <w:ilvl w:val="0"/>
          <w:numId w:val="5"/>
        </w:numPr>
        <w:overflowPunct w:val="0"/>
        <w:autoSpaceDE w:val="0"/>
        <w:autoSpaceDN w:val="0"/>
        <w:adjustRightInd w:val="0"/>
        <w:ind w:firstLineChars="0"/>
        <w:textAlignment w:val="baseline"/>
        <w:rPr>
          <w:sz w:val="20"/>
          <w:szCs w:val="20"/>
        </w:rPr>
      </w:pPr>
      <w:r w:rsidRPr="00997500">
        <w:rPr>
          <w:sz w:val="20"/>
          <w:szCs w:val="20"/>
        </w:rPr>
        <w:t>DMRS.</w:t>
      </w:r>
    </w:p>
    <w:p w:rsidR="00C12CC0" w:rsidRDefault="007C7E9B">
      <w:pPr>
        <w:pStyle w:val="ListParagraph"/>
        <w:numPr>
          <w:ilvl w:val="0"/>
          <w:numId w:val="5"/>
        </w:numPr>
        <w:overflowPunct w:val="0"/>
        <w:autoSpaceDE w:val="0"/>
        <w:autoSpaceDN w:val="0"/>
        <w:adjustRightInd w:val="0"/>
        <w:spacing w:after="120"/>
        <w:ind w:firstLineChars="0"/>
        <w:textAlignment w:val="baseline"/>
        <w:rPr>
          <w:sz w:val="20"/>
          <w:szCs w:val="20"/>
        </w:rPr>
      </w:pPr>
      <w:r w:rsidRPr="00997500">
        <w:rPr>
          <w:sz w:val="20"/>
          <w:szCs w:val="20"/>
        </w:rPr>
        <w:t>MA signatures such as spreading code.</w:t>
      </w:r>
    </w:p>
    <w:p w:rsidR="00047FB9" w:rsidRDefault="007C7E9B" w:rsidP="00997500">
      <w:pPr>
        <w:jc w:val="both"/>
        <w:rPr>
          <w:rFonts w:ascii="Times New Roman" w:hAnsi="Times New Roman"/>
          <w:sz w:val="20"/>
          <w:szCs w:val="20"/>
        </w:rPr>
      </w:pPr>
      <w:r w:rsidRPr="00997500">
        <w:rPr>
          <w:rFonts w:ascii="Times New Roman" w:hAnsi="Times New Roman"/>
          <w:sz w:val="20"/>
          <w:szCs w:val="20"/>
        </w:rPr>
        <w:t xml:space="preserve">DMRS </w:t>
      </w:r>
      <w:r w:rsidR="00A2146D">
        <w:rPr>
          <w:rFonts w:ascii="Times New Roman" w:hAnsi="Times New Roman"/>
          <w:sz w:val="20"/>
          <w:szCs w:val="20"/>
        </w:rPr>
        <w:t>would have</w:t>
      </w:r>
      <w:r w:rsidR="00A2146D" w:rsidRPr="00997500">
        <w:rPr>
          <w:rFonts w:ascii="Times New Roman" w:hAnsi="Times New Roman"/>
          <w:sz w:val="20"/>
          <w:szCs w:val="20"/>
        </w:rPr>
        <w:t xml:space="preserve"> </w:t>
      </w:r>
      <w:r w:rsidRPr="00997500">
        <w:rPr>
          <w:rFonts w:ascii="Times New Roman" w:hAnsi="Times New Roman"/>
          <w:sz w:val="20"/>
          <w:szCs w:val="20"/>
        </w:rPr>
        <w:t xml:space="preserve">similar </w:t>
      </w:r>
      <w:r w:rsidR="00A2146D">
        <w:rPr>
          <w:rFonts w:ascii="Times New Roman" w:hAnsi="Times New Roman"/>
          <w:sz w:val="20"/>
          <w:szCs w:val="20"/>
        </w:rPr>
        <w:t xml:space="preserve">function </w:t>
      </w:r>
      <w:r w:rsidRPr="00997500">
        <w:rPr>
          <w:rFonts w:ascii="Times New Roman" w:hAnsi="Times New Roman"/>
          <w:sz w:val="20"/>
          <w:szCs w:val="20"/>
        </w:rPr>
        <w:t xml:space="preserve">as preamble where the differences are mainly the position of resources, the numerology as well as the overhead. </w:t>
      </w:r>
      <w:r w:rsidR="00744D01">
        <w:rPr>
          <w:rFonts w:ascii="Times New Roman" w:hAnsi="Times New Roman" w:hint="eastAsia"/>
          <w:sz w:val="20"/>
          <w:szCs w:val="20"/>
        </w:rPr>
        <w:t>When DMRS is applied</w:t>
      </w:r>
      <w:r w:rsidR="00CD1F95">
        <w:rPr>
          <w:rFonts w:ascii="Times New Roman" w:hAnsi="Times New Roman" w:hint="eastAsia"/>
          <w:sz w:val="20"/>
          <w:szCs w:val="20"/>
        </w:rPr>
        <w:t xml:space="preserve"> as </w:t>
      </w:r>
      <w:r w:rsidR="00CD1F95">
        <w:rPr>
          <w:rFonts w:ascii="Times New Roman" w:hAnsi="Times New Roman"/>
          <w:sz w:val="20"/>
          <w:szCs w:val="20"/>
        </w:rPr>
        <w:t>the same way</w:t>
      </w:r>
      <w:r w:rsidR="00CD1F95" w:rsidRPr="00997500">
        <w:rPr>
          <w:rFonts w:ascii="Times New Roman" w:hAnsi="Times New Roman"/>
          <w:sz w:val="20"/>
          <w:szCs w:val="20"/>
        </w:rPr>
        <w:t xml:space="preserve"> as in LTE</w:t>
      </w:r>
      <w:r w:rsidR="00744D01">
        <w:rPr>
          <w:rFonts w:ascii="Times New Roman" w:hAnsi="Times New Roman" w:hint="eastAsia"/>
          <w:sz w:val="20"/>
          <w:szCs w:val="20"/>
        </w:rPr>
        <w:t xml:space="preserve"> and the number of users for RACH is large, the </w:t>
      </w:r>
      <w:r w:rsidR="00744D01">
        <w:rPr>
          <w:rFonts w:ascii="Times New Roman" w:hAnsi="Times New Roman"/>
          <w:sz w:val="20"/>
          <w:szCs w:val="20"/>
        </w:rPr>
        <w:t>collision</w:t>
      </w:r>
      <w:r w:rsidR="00744D01">
        <w:rPr>
          <w:rFonts w:ascii="Times New Roman" w:hAnsi="Times New Roman" w:hint="eastAsia"/>
          <w:sz w:val="20"/>
          <w:szCs w:val="20"/>
        </w:rPr>
        <w:t xml:space="preserve"> probability of the DMRS </w:t>
      </w:r>
      <w:r w:rsidR="00CD1F95">
        <w:rPr>
          <w:rFonts w:ascii="Times New Roman" w:hAnsi="Times New Roman" w:hint="eastAsia"/>
          <w:sz w:val="20"/>
          <w:szCs w:val="20"/>
        </w:rPr>
        <w:t xml:space="preserve">would be unexpected </w:t>
      </w:r>
      <w:r w:rsidR="00744D01">
        <w:rPr>
          <w:rFonts w:ascii="Times New Roman" w:hAnsi="Times New Roman" w:hint="eastAsia"/>
          <w:sz w:val="20"/>
          <w:szCs w:val="20"/>
        </w:rPr>
        <w:t xml:space="preserve">high. Increasing the </w:t>
      </w:r>
      <w:r w:rsidR="0061033B">
        <w:rPr>
          <w:rFonts w:ascii="Times New Roman" w:hAnsi="Times New Roman" w:hint="eastAsia"/>
          <w:sz w:val="20"/>
          <w:szCs w:val="20"/>
        </w:rPr>
        <w:t xml:space="preserve">resources </w:t>
      </w:r>
      <w:r w:rsidR="00744D01">
        <w:rPr>
          <w:rFonts w:ascii="Times New Roman" w:hAnsi="Times New Roman" w:hint="eastAsia"/>
          <w:sz w:val="20"/>
          <w:szCs w:val="20"/>
        </w:rPr>
        <w:t xml:space="preserve">of DMRS will alleviate the </w:t>
      </w:r>
      <w:r w:rsidR="00744D01">
        <w:rPr>
          <w:rFonts w:ascii="Times New Roman" w:hAnsi="Times New Roman"/>
          <w:sz w:val="20"/>
          <w:szCs w:val="20"/>
        </w:rPr>
        <w:t>collision</w:t>
      </w:r>
      <w:r w:rsidR="0061033B">
        <w:rPr>
          <w:rFonts w:ascii="Times New Roman" w:hAnsi="Times New Roman" w:hint="eastAsia"/>
          <w:sz w:val="20"/>
          <w:szCs w:val="20"/>
        </w:rPr>
        <w:t xml:space="preserve"> issue,</w:t>
      </w:r>
      <w:r w:rsidR="00744D01">
        <w:rPr>
          <w:rFonts w:ascii="Times New Roman" w:hAnsi="Times New Roman" w:hint="eastAsia"/>
          <w:sz w:val="20"/>
          <w:szCs w:val="20"/>
        </w:rPr>
        <w:t xml:space="preserve"> </w:t>
      </w:r>
      <w:r w:rsidR="0061033B">
        <w:rPr>
          <w:rFonts w:ascii="Times New Roman" w:hAnsi="Times New Roman" w:hint="eastAsia"/>
          <w:sz w:val="20"/>
          <w:szCs w:val="20"/>
        </w:rPr>
        <w:t>but at the same time</w:t>
      </w:r>
      <w:r w:rsidR="00744D01">
        <w:rPr>
          <w:rFonts w:ascii="Times New Roman" w:hAnsi="Times New Roman" w:hint="eastAsia"/>
          <w:sz w:val="20"/>
          <w:szCs w:val="20"/>
        </w:rPr>
        <w:t xml:space="preserve"> </w:t>
      </w:r>
      <w:r w:rsidR="0061033B">
        <w:rPr>
          <w:rFonts w:ascii="Times New Roman" w:hAnsi="Times New Roman" w:hint="eastAsia"/>
          <w:sz w:val="20"/>
          <w:szCs w:val="20"/>
        </w:rPr>
        <w:t>the overhead</w:t>
      </w:r>
      <w:r w:rsidR="00744D01">
        <w:rPr>
          <w:rFonts w:ascii="Times New Roman" w:hAnsi="Times New Roman" w:hint="eastAsia"/>
          <w:sz w:val="20"/>
          <w:szCs w:val="20"/>
        </w:rPr>
        <w:t xml:space="preserve"> </w:t>
      </w:r>
      <w:r w:rsidR="0061033B">
        <w:rPr>
          <w:rFonts w:ascii="Times New Roman" w:hAnsi="Times New Roman" w:hint="eastAsia"/>
          <w:sz w:val="20"/>
          <w:szCs w:val="20"/>
        </w:rPr>
        <w:t xml:space="preserve">is increased and the resource utilization </w:t>
      </w:r>
      <w:r w:rsidR="006B4333">
        <w:rPr>
          <w:rFonts w:ascii="Times New Roman" w:hAnsi="Times New Roman" w:hint="eastAsia"/>
          <w:sz w:val="20"/>
          <w:szCs w:val="20"/>
        </w:rPr>
        <w:t>and acces</w:t>
      </w:r>
      <w:r w:rsidR="00047FB9">
        <w:rPr>
          <w:rFonts w:ascii="Times New Roman" w:hAnsi="Times New Roman" w:hint="eastAsia"/>
          <w:sz w:val="20"/>
          <w:szCs w:val="20"/>
        </w:rPr>
        <w:t>s</w:t>
      </w:r>
      <w:r w:rsidR="006B4333">
        <w:rPr>
          <w:rFonts w:ascii="Times New Roman" w:hAnsi="Times New Roman" w:hint="eastAsia"/>
          <w:sz w:val="20"/>
          <w:szCs w:val="20"/>
        </w:rPr>
        <w:t xml:space="preserve"> capability are</w:t>
      </w:r>
      <w:r w:rsidR="0061033B">
        <w:rPr>
          <w:rFonts w:ascii="Times New Roman" w:hAnsi="Times New Roman" w:hint="eastAsia"/>
          <w:sz w:val="20"/>
          <w:szCs w:val="20"/>
        </w:rPr>
        <w:t xml:space="preserve"> reduced</w:t>
      </w:r>
      <w:r w:rsidR="00744D01">
        <w:rPr>
          <w:rFonts w:ascii="Times New Roman" w:hAnsi="Times New Roman" w:hint="eastAsia"/>
          <w:sz w:val="20"/>
          <w:szCs w:val="20"/>
        </w:rPr>
        <w:t xml:space="preserve">. </w:t>
      </w:r>
    </w:p>
    <w:p w:rsidR="00703F4E" w:rsidRDefault="00047FB9">
      <w:pPr>
        <w:jc w:val="both"/>
        <w:rPr>
          <w:rFonts w:ascii="Times New Roman" w:hAnsi="Times New Roman"/>
          <w:sz w:val="20"/>
          <w:szCs w:val="20"/>
        </w:rPr>
      </w:pPr>
      <w:r>
        <w:rPr>
          <w:rFonts w:ascii="Times New Roman" w:hAnsi="Times New Roman" w:hint="eastAsia"/>
          <w:sz w:val="20"/>
          <w:szCs w:val="20"/>
        </w:rPr>
        <w:t>Instead of using DMRS for multi-user separation, t</w:t>
      </w:r>
      <w:r w:rsidR="007C7E9B" w:rsidRPr="00997500">
        <w:rPr>
          <w:rFonts w:ascii="Times New Roman" w:hAnsi="Times New Roman"/>
          <w:sz w:val="20"/>
          <w:szCs w:val="20"/>
        </w:rPr>
        <w:t>he</w:t>
      </w:r>
      <w:r>
        <w:rPr>
          <w:rFonts w:ascii="Times New Roman" w:hAnsi="Times New Roman" w:hint="eastAsia"/>
          <w:sz w:val="20"/>
          <w:szCs w:val="20"/>
        </w:rPr>
        <w:t xml:space="preserve"> payload-only solution can work well with</w:t>
      </w:r>
      <w:r w:rsidR="007C7E9B" w:rsidRPr="00997500">
        <w:rPr>
          <w:rFonts w:ascii="Times New Roman" w:hAnsi="Times New Roman"/>
          <w:sz w:val="20"/>
          <w:szCs w:val="20"/>
        </w:rPr>
        <w:t xml:space="preserve"> MA signatures, such as the spreading code used in MUSA</w:t>
      </w:r>
      <w:r w:rsidR="007C7E9B" w:rsidRPr="00A2146D">
        <w:rPr>
          <w:rFonts w:ascii="Times New Roman" w:hAnsi="Times New Roman"/>
          <w:sz w:val="20"/>
          <w:szCs w:val="20"/>
        </w:rPr>
        <w:t xml:space="preserve"> </w:t>
      </w:r>
      <w:r w:rsidR="001C5FD0" w:rsidRPr="00A2146D">
        <w:rPr>
          <w:rFonts w:ascii="Times New Roman" w:hAnsi="Times New Roman"/>
          <w:sz w:val="20"/>
          <w:szCs w:val="20"/>
        </w:rPr>
        <w:t>[3]</w:t>
      </w:r>
      <w:r>
        <w:rPr>
          <w:rFonts w:ascii="Times New Roman" w:hAnsi="Times New Roman" w:hint="eastAsia"/>
          <w:sz w:val="20"/>
          <w:szCs w:val="20"/>
        </w:rPr>
        <w:t xml:space="preserve"> </w:t>
      </w:r>
      <w:r w:rsidR="007C7E9B" w:rsidRPr="00997500">
        <w:rPr>
          <w:rFonts w:ascii="Times New Roman" w:hAnsi="Times New Roman"/>
          <w:sz w:val="20"/>
          <w:szCs w:val="20"/>
        </w:rPr>
        <w:t xml:space="preserve">for the simplified RACH procedure. </w:t>
      </w:r>
      <w:r w:rsidR="004B26B1">
        <w:rPr>
          <w:rFonts w:ascii="Times New Roman" w:hAnsi="Times New Roman" w:hint="eastAsia"/>
          <w:sz w:val="20"/>
          <w:szCs w:val="20"/>
        </w:rPr>
        <w:t xml:space="preserve">The </w:t>
      </w:r>
      <w:r w:rsidR="007C153F">
        <w:rPr>
          <w:rFonts w:ascii="Times New Roman" w:hAnsi="Times New Roman" w:hint="eastAsia"/>
          <w:sz w:val="20"/>
          <w:szCs w:val="20"/>
        </w:rPr>
        <w:t xml:space="preserve">resource utilization is optimized since no overhead is cost, and </w:t>
      </w:r>
      <w:r w:rsidR="00027E54">
        <w:rPr>
          <w:rFonts w:ascii="Times New Roman" w:hAnsi="Times New Roman" w:hint="eastAsia"/>
          <w:sz w:val="20"/>
          <w:szCs w:val="20"/>
        </w:rPr>
        <w:t xml:space="preserve">the </w:t>
      </w:r>
      <w:r w:rsidR="004B26B1">
        <w:rPr>
          <w:rFonts w:ascii="Times New Roman" w:hAnsi="Times New Roman" w:hint="eastAsia"/>
          <w:sz w:val="20"/>
          <w:szCs w:val="20"/>
        </w:rPr>
        <w:t xml:space="preserve">collision issue can be avoided by using blind channel estimation </w:t>
      </w:r>
      <w:r w:rsidR="00AB363F">
        <w:rPr>
          <w:rFonts w:ascii="Times New Roman" w:hAnsi="Times New Roman" w:hint="eastAsia"/>
          <w:sz w:val="20"/>
          <w:szCs w:val="20"/>
        </w:rPr>
        <w:t xml:space="preserve">and equalization </w:t>
      </w:r>
      <w:r w:rsidR="004B26B1">
        <w:rPr>
          <w:rFonts w:ascii="Times New Roman" w:hAnsi="Times New Roman" w:hint="eastAsia"/>
          <w:sz w:val="20"/>
          <w:szCs w:val="20"/>
        </w:rPr>
        <w:t xml:space="preserve">based on the </w:t>
      </w:r>
      <w:r w:rsidR="008377A6">
        <w:rPr>
          <w:rFonts w:ascii="Times New Roman" w:hAnsi="Times New Roman" w:hint="eastAsia"/>
          <w:sz w:val="20"/>
          <w:szCs w:val="20"/>
        </w:rPr>
        <w:t>pre- and post</w:t>
      </w:r>
      <w:r w:rsidR="00350DD7">
        <w:rPr>
          <w:rFonts w:ascii="Times New Roman" w:hAnsi="Times New Roman" w:hint="eastAsia"/>
          <w:sz w:val="20"/>
          <w:szCs w:val="20"/>
        </w:rPr>
        <w:t>-</w:t>
      </w:r>
      <w:r w:rsidR="004B26B1">
        <w:rPr>
          <w:rFonts w:ascii="Times New Roman" w:hAnsi="Times New Roman" w:hint="eastAsia"/>
          <w:sz w:val="20"/>
          <w:szCs w:val="20"/>
        </w:rPr>
        <w:t xml:space="preserve">information of data symbols. </w:t>
      </w:r>
      <w:r w:rsidR="003113CA">
        <w:rPr>
          <w:rFonts w:ascii="Times New Roman" w:hAnsi="Times New Roman" w:hint="eastAsia"/>
          <w:sz w:val="20"/>
          <w:szCs w:val="20"/>
        </w:rPr>
        <w:t>The pre-information contains the spreading codes</w:t>
      </w:r>
      <w:r w:rsidR="0002178A">
        <w:rPr>
          <w:rFonts w:ascii="Times New Roman" w:hAnsi="Times New Roman" w:hint="eastAsia"/>
          <w:sz w:val="20"/>
          <w:szCs w:val="20"/>
        </w:rPr>
        <w:t xml:space="preserve">, </w:t>
      </w:r>
      <w:r w:rsidR="0002178A" w:rsidRPr="00916CC9">
        <w:rPr>
          <w:rFonts w:ascii="Times New Roman" w:hAnsi="Times New Roman"/>
          <w:sz w:val="20"/>
          <w:szCs w:val="20"/>
        </w:rPr>
        <w:t>characteristics of low order modulation</w:t>
      </w:r>
      <w:r w:rsidR="0002178A">
        <w:rPr>
          <w:rFonts w:ascii="Times New Roman" w:hAnsi="Times New Roman" w:hint="eastAsia"/>
          <w:sz w:val="20"/>
          <w:szCs w:val="20"/>
        </w:rPr>
        <w:t xml:space="preserve">, </w:t>
      </w:r>
      <w:r w:rsidR="003113CA">
        <w:rPr>
          <w:rFonts w:ascii="Times New Roman" w:hAnsi="Times New Roman" w:hint="eastAsia"/>
          <w:sz w:val="20"/>
          <w:szCs w:val="20"/>
        </w:rPr>
        <w:t>and statistics of received signals, and the post-information such as t</w:t>
      </w:r>
      <w:r w:rsidR="00B71D98">
        <w:rPr>
          <w:rFonts w:ascii="Times New Roman" w:hAnsi="Times New Roman" w:hint="eastAsia"/>
          <w:sz w:val="20"/>
          <w:szCs w:val="20"/>
        </w:rPr>
        <w:t xml:space="preserve">he successfully decoded </w:t>
      </w:r>
      <w:r w:rsidR="00F60C75">
        <w:rPr>
          <w:rFonts w:ascii="Times New Roman" w:hAnsi="Times New Roman" w:hint="eastAsia"/>
          <w:sz w:val="20"/>
          <w:szCs w:val="20"/>
        </w:rPr>
        <w:t xml:space="preserve">data symbols </w:t>
      </w:r>
      <w:r w:rsidR="003113CA">
        <w:rPr>
          <w:rFonts w:ascii="Times New Roman" w:hAnsi="Times New Roman" w:hint="eastAsia"/>
          <w:sz w:val="20"/>
          <w:szCs w:val="20"/>
        </w:rPr>
        <w:t xml:space="preserve">can be </w:t>
      </w:r>
      <w:r w:rsidR="00B71D98">
        <w:rPr>
          <w:rFonts w:ascii="Times New Roman" w:hAnsi="Times New Roman" w:hint="eastAsia"/>
          <w:sz w:val="20"/>
          <w:szCs w:val="20"/>
        </w:rPr>
        <w:t xml:space="preserve">applied </w:t>
      </w:r>
      <w:r w:rsidR="00760DC3">
        <w:rPr>
          <w:rFonts w:ascii="Times New Roman" w:hAnsi="Times New Roman" w:hint="eastAsia"/>
          <w:sz w:val="20"/>
          <w:szCs w:val="20"/>
        </w:rPr>
        <w:t xml:space="preserve">to </w:t>
      </w:r>
      <w:r w:rsidR="00AE1BBE">
        <w:rPr>
          <w:rFonts w:ascii="Times New Roman" w:hAnsi="Times New Roman" w:hint="eastAsia"/>
          <w:sz w:val="20"/>
          <w:szCs w:val="20"/>
        </w:rPr>
        <w:t>refin</w:t>
      </w:r>
      <w:r w:rsidR="00760DC3">
        <w:rPr>
          <w:rFonts w:ascii="Times New Roman" w:hAnsi="Times New Roman" w:hint="eastAsia"/>
          <w:sz w:val="20"/>
          <w:szCs w:val="20"/>
        </w:rPr>
        <w:t>e</w:t>
      </w:r>
      <w:r w:rsidR="00AE1BBE">
        <w:rPr>
          <w:rFonts w:ascii="Times New Roman" w:hAnsi="Times New Roman" w:hint="eastAsia"/>
          <w:sz w:val="20"/>
          <w:szCs w:val="20"/>
        </w:rPr>
        <w:t xml:space="preserve"> the </w:t>
      </w:r>
      <w:r w:rsidR="00B71D98">
        <w:rPr>
          <w:rFonts w:ascii="Times New Roman" w:hAnsi="Times New Roman" w:hint="eastAsia"/>
          <w:sz w:val="20"/>
          <w:szCs w:val="20"/>
        </w:rPr>
        <w:t>channel estimation</w:t>
      </w:r>
      <w:r w:rsidR="00760DC3">
        <w:rPr>
          <w:rFonts w:ascii="Times New Roman" w:hAnsi="Times New Roman" w:hint="eastAsia"/>
          <w:sz w:val="20"/>
          <w:szCs w:val="20"/>
        </w:rPr>
        <w:t xml:space="preserve"> and minimize the error propagation of SIC</w:t>
      </w:r>
      <w:r w:rsidR="00B71D98">
        <w:rPr>
          <w:rFonts w:ascii="Times New Roman" w:hAnsi="Times New Roman" w:hint="eastAsia"/>
          <w:sz w:val="20"/>
          <w:szCs w:val="20"/>
        </w:rPr>
        <w:t xml:space="preserve">. </w:t>
      </w:r>
      <w:r w:rsidR="009917FF">
        <w:rPr>
          <w:rFonts w:ascii="Times New Roman" w:hAnsi="Times New Roman" w:hint="eastAsia"/>
          <w:sz w:val="20"/>
          <w:szCs w:val="20"/>
        </w:rPr>
        <w:t>A block diagram of receiver for 2</w:t>
      </w:r>
      <w:r w:rsidR="006A2389">
        <w:rPr>
          <w:rFonts w:ascii="Times New Roman" w:hAnsi="Times New Roman" w:hint="eastAsia"/>
          <w:sz w:val="20"/>
          <w:szCs w:val="20"/>
        </w:rPr>
        <w:t>-</w:t>
      </w:r>
      <w:r w:rsidR="009917FF">
        <w:rPr>
          <w:rFonts w:ascii="Times New Roman" w:hAnsi="Times New Roman" w:hint="eastAsia"/>
          <w:sz w:val="20"/>
          <w:szCs w:val="20"/>
        </w:rPr>
        <w:t>step RACH</w:t>
      </w:r>
      <w:r w:rsidR="009D7017">
        <w:rPr>
          <w:rFonts w:ascii="Times New Roman" w:hAnsi="Times New Roman" w:hint="eastAsia"/>
          <w:sz w:val="20"/>
          <w:szCs w:val="20"/>
        </w:rPr>
        <w:t xml:space="preserve"> by using </w:t>
      </w:r>
      <w:r w:rsidR="006A2389">
        <w:rPr>
          <w:rFonts w:ascii="Times New Roman" w:hAnsi="Times New Roman" w:hint="eastAsia"/>
          <w:sz w:val="20"/>
          <w:szCs w:val="20"/>
        </w:rPr>
        <w:t>payload-only solution with spreading and SIC-type receiver</w:t>
      </w:r>
      <w:r w:rsidR="009917FF">
        <w:rPr>
          <w:rFonts w:ascii="Times New Roman" w:hAnsi="Times New Roman" w:hint="eastAsia"/>
          <w:sz w:val="20"/>
          <w:szCs w:val="20"/>
        </w:rPr>
        <w:t xml:space="preserve"> is shown </w:t>
      </w:r>
      <w:r w:rsidR="00AE14DD">
        <w:rPr>
          <w:rFonts w:ascii="Times New Roman" w:hAnsi="Times New Roman" w:hint="eastAsia"/>
          <w:sz w:val="20"/>
          <w:szCs w:val="20"/>
        </w:rPr>
        <w:t xml:space="preserve">in </w:t>
      </w:r>
      <w:fldSimple w:instr=" REF _Ref474096305 \h  \* MERGEFORMAT ">
        <w:r w:rsidR="00E527CD" w:rsidRPr="00E527CD">
          <w:rPr>
            <w:rFonts w:ascii="Times New Roman" w:hAnsi="Times New Roman"/>
            <w:sz w:val="20"/>
            <w:szCs w:val="20"/>
          </w:rPr>
          <w:t>Figure 2</w:t>
        </w:r>
      </w:fldSimple>
      <w:r w:rsidR="009917FF">
        <w:rPr>
          <w:rFonts w:ascii="Times New Roman" w:hAnsi="Times New Roman" w:hint="eastAsia"/>
          <w:sz w:val="20"/>
          <w:szCs w:val="20"/>
        </w:rPr>
        <w:t>.</w:t>
      </w:r>
      <w:r w:rsidR="00535746">
        <w:rPr>
          <w:rFonts w:ascii="Times New Roman" w:hAnsi="Times New Roman" w:hint="eastAsia"/>
          <w:sz w:val="20"/>
          <w:szCs w:val="20"/>
        </w:rPr>
        <w:t xml:space="preserve"> </w:t>
      </w:r>
    </w:p>
    <w:p w:rsidR="00E527CD" w:rsidRDefault="00535746">
      <w:pPr>
        <w:jc w:val="both"/>
        <w:rPr>
          <w:rFonts w:ascii="Times New Roman" w:hAnsi="Times New Roman"/>
          <w:sz w:val="20"/>
          <w:szCs w:val="20"/>
        </w:rPr>
      </w:pPr>
      <w:r>
        <w:rPr>
          <w:rFonts w:ascii="Times New Roman" w:hAnsi="Times New Roman" w:hint="eastAsia"/>
          <w:sz w:val="20"/>
          <w:szCs w:val="20"/>
        </w:rPr>
        <w:t>The performance of blind detection can be achieved very closely to optimal MMSE estimator, especially when multiple access users are synchronized, i.e. the timing offsets are small. However, when the time offsets are relatively larger</w:t>
      </w:r>
      <w:r w:rsidR="0067658A">
        <w:rPr>
          <w:rFonts w:ascii="Times New Roman" w:hAnsi="Times New Roman" w:hint="eastAsia"/>
          <w:sz w:val="20"/>
          <w:szCs w:val="20"/>
        </w:rPr>
        <w:t xml:space="preserve"> in order to support large cell radius</w:t>
      </w:r>
      <w:r>
        <w:rPr>
          <w:rFonts w:ascii="Times New Roman" w:hAnsi="Times New Roman" w:hint="eastAsia"/>
          <w:sz w:val="20"/>
          <w:szCs w:val="20"/>
        </w:rPr>
        <w:t>, the inter-symbol interference due to a</w:t>
      </w:r>
      <w:r>
        <w:rPr>
          <w:rFonts w:ascii="Times New Roman" w:hAnsi="Times New Roman"/>
          <w:sz w:val="20"/>
          <w:szCs w:val="20"/>
        </w:rPr>
        <w:t>synchron</w:t>
      </w:r>
      <w:r>
        <w:rPr>
          <w:rFonts w:ascii="Times New Roman" w:hAnsi="Times New Roman" w:hint="eastAsia"/>
          <w:sz w:val="20"/>
          <w:szCs w:val="20"/>
        </w:rPr>
        <w:t xml:space="preserve">ous superposition will significantly degrade the performance of blind </w:t>
      </w:r>
      <w:r>
        <w:rPr>
          <w:rFonts w:ascii="Times New Roman" w:hAnsi="Times New Roman"/>
          <w:sz w:val="20"/>
          <w:szCs w:val="20"/>
        </w:rPr>
        <w:t>equalization</w:t>
      </w:r>
      <w:r>
        <w:rPr>
          <w:rFonts w:ascii="Times New Roman" w:hAnsi="Times New Roman" w:hint="eastAsia"/>
          <w:sz w:val="20"/>
          <w:szCs w:val="20"/>
        </w:rPr>
        <w:t xml:space="preserve">. In this case, we may need to </w:t>
      </w:r>
      <w:r w:rsidR="005B2C75" w:rsidRPr="005B2C75">
        <w:rPr>
          <w:rFonts w:ascii="Times New Roman" w:hAnsi="Times New Roman"/>
          <w:sz w:val="20"/>
          <w:szCs w:val="20"/>
        </w:rPr>
        <w:lastRenderedPageBreak/>
        <w:t>introduce the extended CP and/or lower the sub-carrier-spacing. Pre-compensa</w:t>
      </w:r>
      <w:r w:rsidR="00134950" w:rsidRPr="00B51103">
        <w:rPr>
          <w:rFonts w:ascii="Times New Roman" w:hAnsi="Times New Roman" w:hint="eastAsia"/>
          <w:sz w:val="20"/>
          <w:szCs w:val="20"/>
        </w:rPr>
        <w:t>t</w:t>
      </w:r>
      <w:r w:rsidR="00134950">
        <w:rPr>
          <w:rFonts w:ascii="Times New Roman" w:hAnsi="Times New Roman" w:hint="eastAsia"/>
          <w:sz w:val="20"/>
          <w:szCs w:val="20"/>
        </w:rPr>
        <w:t>ion of</w:t>
      </w:r>
      <w:r>
        <w:rPr>
          <w:rFonts w:ascii="Times New Roman" w:hAnsi="Times New Roman" w:hint="eastAsia"/>
          <w:sz w:val="20"/>
          <w:szCs w:val="20"/>
        </w:rPr>
        <w:t xml:space="preserve"> the </w:t>
      </w:r>
      <w:r w:rsidRPr="00AD7B16">
        <w:rPr>
          <w:rFonts w:ascii="Times New Roman" w:hAnsi="Times New Roman"/>
          <w:sz w:val="20"/>
          <w:szCs w:val="20"/>
        </w:rPr>
        <w:t>timing offset</w:t>
      </w:r>
      <w:r>
        <w:rPr>
          <w:rFonts w:ascii="Times New Roman" w:hAnsi="Times New Roman" w:hint="eastAsia"/>
          <w:sz w:val="20"/>
          <w:szCs w:val="20"/>
        </w:rPr>
        <w:t xml:space="preserve"> of </w:t>
      </w:r>
      <w:r>
        <w:rPr>
          <w:rFonts w:ascii="Times New Roman" w:hAnsi="Times New Roman"/>
          <w:sz w:val="20"/>
          <w:szCs w:val="20"/>
        </w:rPr>
        <w:t>received</w:t>
      </w:r>
      <w:r>
        <w:rPr>
          <w:rFonts w:ascii="Times New Roman" w:hAnsi="Times New Roman" w:hint="eastAsia"/>
          <w:sz w:val="20"/>
          <w:szCs w:val="20"/>
        </w:rPr>
        <w:t xml:space="preserve"> signal by </w:t>
      </w:r>
      <w:r>
        <w:rPr>
          <w:rFonts w:ascii="Times New Roman" w:hAnsi="Times New Roman"/>
          <w:sz w:val="20"/>
          <w:szCs w:val="20"/>
        </w:rPr>
        <w:t xml:space="preserve">several </w:t>
      </w:r>
      <w:r>
        <w:rPr>
          <w:rFonts w:ascii="Times New Roman" w:hAnsi="Times New Roman" w:hint="eastAsia"/>
          <w:sz w:val="20"/>
          <w:szCs w:val="20"/>
        </w:rPr>
        <w:t xml:space="preserve">different </w:t>
      </w:r>
      <w:r>
        <w:rPr>
          <w:rFonts w:ascii="Times New Roman" w:hAnsi="Times New Roman"/>
          <w:sz w:val="20"/>
          <w:szCs w:val="20"/>
        </w:rPr>
        <w:t>hypotheses</w:t>
      </w:r>
      <w:r>
        <w:rPr>
          <w:rFonts w:ascii="Times New Roman" w:hAnsi="Times New Roman" w:hint="eastAsia"/>
          <w:sz w:val="20"/>
          <w:szCs w:val="20"/>
        </w:rPr>
        <w:t xml:space="preserve"> values </w:t>
      </w:r>
      <w:r w:rsidR="00134950">
        <w:rPr>
          <w:rFonts w:ascii="Times New Roman" w:hAnsi="Times New Roman" w:hint="eastAsia"/>
          <w:sz w:val="20"/>
          <w:szCs w:val="20"/>
        </w:rPr>
        <w:t xml:space="preserve">is also needed </w:t>
      </w:r>
      <w:r>
        <w:rPr>
          <w:rFonts w:ascii="Times New Roman" w:hAnsi="Times New Roman" w:hint="eastAsia"/>
          <w:sz w:val="20"/>
          <w:szCs w:val="20"/>
        </w:rPr>
        <w:t>before the blind equalization.</w:t>
      </w:r>
    </w:p>
    <w:p w:rsidR="00E527CD" w:rsidRDefault="006052C0" w:rsidP="00E527CD">
      <w:pPr>
        <w:keepNext/>
        <w:jc w:val="center"/>
      </w:pPr>
      <w:r>
        <w:rPr>
          <w:noProof/>
        </w:rPr>
        <w:drawing>
          <wp:inline distT="0" distB="0" distL="0" distR="0">
            <wp:extent cx="5486400" cy="2305685"/>
            <wp:effectExtent l="19050" t="0" r="0" b="0"/>
            <wp:docPr id="2"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73460" cy="3771263"/>
                      <a:chOff x="87085" y="1091918"/>
                      <a:chExt cx="8973460" cy="3771263"/>
                    </a:xfrm>
                  </a:grpSpPr>
                  <a:sp>
                    <a:nvSpPr>
                      <a:cNvPr id="215" name="环形箭头 214"/>
                      <a:cNvSpPr/>
                    </a:nvSpPr>
                    <a:spPr bwMode="auto">
                      <a:xfrm rot="5400000">
                        <a:off x="3375887" y="1494035"/>
                        <a:ext cx="1672754" cy="3788598"/>
                      </a:xfrm>
                      <a:prstGeom prst="circularArrow">
                        <a:avLst>
                          <a:gd name="adj1" fmla="val 5169"/>
                          <a:gd name="adj2" fmla="val 1280575"/>
                          <a:gd name="adj3" fmla="val 3089670"/>
                          <a:gd name="adj4" fmla="val 6385623"/>
                          <a:gd name="adj5" fmla="val 15566"/>
                        </a:avLst>
                      </a:prstGeom>
                      <a:gradFill>
                        <a:gsLst>
                          <a:gs pos="0">
                            <a:srgbClr val="FF0000">
                              <a:alpha val="30000"/>
                            </a:srgbClr>
                          </a:gs>
                          <a:gs pos="0">
                            <a:srgbClr val="00B050"/>
                          </a:gs>
                          <a:gs pos="50000">
                            <a:schemeClr val="accent1">
                              <a:tint val="44500"/>
                              <a:satMod val="160000"/>
                            </a:schemeClr>
                          </a:gs>
                          <a:gs pos="100000">
                            <a:schemeClr val="accent1">
                              <a:tint val="23500"/>
                              <a:satMod val="160000"/>
                            </a:schemeClr>
                          </a:gs>
                        </a:gsLst>
                        <a:path path="shape">
                          <a:fillToRect l="50000" t="50000" r="50000" b="50000"/>
                        </a:path>
                      </a:gra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buFont typeface="Arial" pitchFamily="34" charset="0"/>
                            <a:buNone/>
                          </a:pPr>
                          <a:endParaRPr lang="zh-CN" altLang="en-US" smtClean="0">
                            <a:solidFill>
                              <a:srgbClr val="008ED3"/>
                            </a:solidFill>
                            <a:cs typeface="Arial" pitchFamily="34" charset="0"/>
                          </a:endParaRPr>
                        </a:p>
                      </a:txBody>
                      <a:useSpRect/>
                    </a:txSp>
                  </a:sp>
                  <a:sp>
                    <a:nvSpPr>
                      <a:cNvPr id="12" name="右箭头 11"/>
                      <a:cNvSpPr>
                        <a:spLocks/>
                      </a:cNvSpPr>
                    </a:nvSpPr>
                    <a:spPr bwMode="auto">
                      <a:xfrm>
                        <a:off x="87085" y="1352972"/>
                        <a:ext cx="642910" cy="507792"/>
                      </a:xfrm>
                      <a:prstGeom prst="rightArrow">
                        <a:avLst/>
                      </a:prstGeom>
                      <a:noFill/>
                      <a:ln w="9525" cap="flat" cmpd="sng" algn="ctr">
                        <a:solidFill>
                          <a:srgbClr val="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buFont typeface="Arial" pitchFamily="34" charset="0"/>
                            <a:buNone/>
                          </a:pPr>
                          <a:endParaRPr lang="zh-CN" altLang="en-US" smtClean="0">
                            <a:solidFill>
                              <a:srgbClr val="008ED3"/>
                            </a:solidFill>
                            <a:cs typeface="Arial" pitchFamily="34" charset="0"/>
                          </a:endParaRPr>
                        </a:p>
                      </a:txBody>
                      <a:useSpRect/>
                    </a:txSp>
                  </a:sp>
                  <a:sp>
                    <a:nvSpPr>
                      <a:cNvPr id="7" name="矩形 6"/>
                      <a:cNvSpPr/>
                    </a:nvSpPr>
                    <a:spPr bwMode="auto">
                      <a:xfrm>
                        <a:off x="1368411" y="1091918"/>
                        <a:ext cx="1624955" cy="1058108"/>
                      </a:xfrm>
                      <a:prstGeom prst="rect">
                        <a:avLst/>
                      </a:prstGeom>
                      <a:noFill/>
                      <a:ln w="9525" cap="flat" cmpd="sng" algn="ctr">
                        <a:solidFill>
                          <a:srgbClr val="000000"/>
                        </a:solidFill>
                        <a:prstDash val="solid"/>
                        <a:round/>
                        <a:headEnd type="none" w="med" len="med"/>
                        <a:tailEnd type="none" w="med" len="med"/>
                      </a:ln>
                      <a:effectLst/>
                    </a:spPr>
                    <a:txSp>
                      <a:txBody>
                        <a:bodyPr vert="horz" wrap="square" lIns="0" tIns="0" rIns="0" bIns="0" numCol="1" rtlCol="0" anchor="ctr" anchorCtr="1"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342900" indent="-342900">
                            <a:buFont typeface="Arial" pitchFamily="34" charset="0"/>
                            <a:buNone/>
                          </a:pPr>
                          <a:r>
                            <a:rPr lang="en-US" altLang="zh-CN" sz="1400" b="1" u="sng" dirty="0" smtClean="0">
                              <a:solidFill>
                                <a:srgbClr val="000000"/>
                              </a:solidFill>
                              <a:cs typeface="Arial" pitchFamily="34" charset="0"/>
                            </a:rPr>
                            <a:t>Pre-compensation of the time offset</a:t>
                          </a:r>
                          <a:endParaRPr lang="zh-CN" altLang="en-US" sz="1200" dirty="0" smtClean="0">
                            <a:solidFill>
                              <a:srgbClr val="000000"/>
                            </a:solidFill>
                            <a:cs typeface="Arial" pitchFamily="34" charset="0"/>
                          </a:endParaRPr>
                        </a:p>
                      </a:txBody>
                      <a:useSpRect/>
                    </a:txSp>
                  </a:sp>
                  <a:cxnSp>
                    <a:nvCxnSpPr>
                      <a:cNvPr id="21" name="直接箭头连接符 20"/>
                      <a:cNvCxnSpPr/>
                    </a:nvCxnSpPr>
                    <a:spPr bwMode="auto">
                      <a:xfrm>
                        <a:off x="4993539" y="1374080"/>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22" name="直接箭头连接符 21"/>
                      <a:cNvCxnSpPr/>
                    </a:nvCxnSpPr>
                    <a:spPr bwMode="auto">
                      <a:xfrm>
                        <a:off x="4993539" y="1656241"/>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23" name="直接箭头连接符 22"/>
                      <a:cNvCxnSpPr/>
                    </a:nvCxnSpPr>
                    <a:spPr bwMode="auto">
                      <a:xfrm>
                        <a:off x="4993539" y="1797322"/>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24" name="直接箭头连接符 23"/>
                      <a:cNvCxnSpPr/>
                    </a:nvCxnSpPr>
                    <a:spPr bwMode="auto">
                      <a:xfrm>
                        <a:off x="4993539" y="1938403"/>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25" name="直接箭头连接符 24"/>
                      <a:cNvCxnSpPr/>
                    </a:nvCxnSpPr>
                    <a:spPr bwMode="auto">
                      <a:xfrm>
                        <a:off x="4993539" y="2079483"/>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33" name="直接箭头连接符 32"/>
                      <a:cNvCxnSpPr/>
                    </a:nvCxnSpPr>
                    <a:spPr bwMode="auto">
                      <a:xfrm>
                        <a:off x="4993539" y="1232999"/>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34" name="直接箭头连接符 33"/>
                      <a:cNvCxnSpPr/>
                    </a:nvCxnSpPr>
                    <a:spPr bwMode="auto">
                      <a:xfrm>
                        <a:off x="4993539" y="1515160"/>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35" name="直接箭头连接符 34"/>
                      <a:cNvCxnSpPr/>
                    </a:nvCxnSpPr>
                    <a:spPr bwMode="auto">
                      <a:xfrm>
                        <a:off x="4993539" y="1726782"/>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36" name="直接箭头连接符 35"/>
                      <a:cNvCxnSpPr/>
                    </a:nvCxnSpPr>
                    <a:spPr bwMode="auto">
                      <a:xfrm>
                        <a:off x="4993539" y="1867862"/>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37" name="直接箭头连接符 36"/>
                      <a:cNvCxnSpPr/>
                    </a:nvCxnSpPr>
                    <a:spPr bwMode="auto">
                      <a:xfrm>
                        <a:off x="4993539" y="2008943"/>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sp>
                    <a:nvSpPr>
                      <a:cNvPr id="72" name="矩形 71"/>
                      <a:cNvSpPr/>
                    </a:nvSpPr>
                    <a:spPr bwMode="auto">
                      <a:xfrm>
                        <a:off x="5293488" y="1091918"/>
                        <a:ext cx="1650713" cy="1058108"/>
                      </a:xfrm>
                      <a:prstGeom prst="rect">
                        <a:avLst/>
                      </a:prstGeom>
                      <a:noFill/>
                      <a:ln w="9525" cap="flat" cmpd="sng" algn="ctr">
                        <a:solidFill>
                          <a:srgbClr val="000000"/>
                        </a:solidFill>
                        <a:prstDash val="solid"/>
                        <a:round/>
                        <a:headEnd type="none" w="med" len="med"/>
                        <a:tailEnd type="none" w="med" len="med"/>
                      </a:ln>
                      <a:effectLst/>
                    </a:spPr>
                    <a:txSp>
                      <a:txBody>
                        <a:bodyPr vert="horz" wrap="square" lIns="0" tIns="0" rIns="0" bIns="0" numCol="1" rtlCol="0" anchor="ctr" anchorCtr="1"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342900" indent="-342900" algn="ctr">
                            <a:buFont typeface="Arial" pitchFamily="34" charset="0"/>
                            <a:buNone/>
                          </a:pPr>
                          <a:r>
                            <a:rPr lang="en-US" altLang="zh-CN" sz="1400" b="1" u="sng" dirty="0" smtClean="0">
                              <a:solidFill>
                                <a:srgbClr val="000000"/>
                              </a:solidFill>
                              <a:cs typeface="Arial" pitchFamily="34" charset="0"/>
                            </a:rPr>
                            <a:t>Blind Equalization </a:t>
                          </a:r>
                        </a:p>
                        <a:p>
                          <a:pPr marL="342900" indent="-342900">
                            <a:buFont typeface="Arial" pitchFamily="34" charset="0"/>
                            <a:buNone/>
                          </a:pPr>
                          <a:r>
                            <a:rPr lang="en-US" altLang="zh-CN" sz="1200" dirty="0" smtClean="0">
                              <a:solidFill>
                                <a:srgbClr val="000000"/>
                              </a:solidFill>
                              <a:cs typeface="Arial" pitchFamily="34" charset="0"/>
                            </a:rPr>
                            <a:t>the M stream and find </a:t>
                          </a:r>
                        </a:p>
                        <a:p>
                          <a:pPr marL="342900" indent="-342900">
                            <a:buFont typeface="Arial" pitchFamily="34" charset="0"/>
                            <a:buNone/>
                          </a:pPr>
                          <a:r>
                            <a:rPr lang="en-US" altLang="zh-CN" sz="1200" dirty="0" smtClean="0">
                              <a:solidFill>
                                <a:srgbClr val="000000"/>
                              </a:solidFill>
                              <a:cs typeface="Arial" pitchFamily="34" charset="0"/>
                            </a:rPr>
                            <a:t>the D streams having the </a:t>
                          </a:r>
                        </a:p>
                        <a:p>
                          <a:pPr marL="342900" indent="-342900">
                            <a:buFont typeface="Arial" pitchFamily="34" charset="0"/>
                            <a:buNone/>
                          </a:pPr>
                          <a:r>
                            <a:rPr lang="en-US" altLang="zh-CN" sz="1200" dirty="0" smtClean="0">
                              <a:solidFill>
                                <a:srgbClr val="000000"/>
                              </a:solidFill>
                              <a:cs typeface="Arial" pitchFamily="34" charset="0"/>
                            </a:rPr>
                            <a:t>maximum SINR or  </a:t>
                          </a:r>
                        </a:p>
                        <a:p>
                          <a:pPr marL="342900" indent="-342900">
                            <a:buFont typeface="Arial" pitchFamily="34" charset="0"/>
                            <a:buNone/>
                          </a:pPr>
                          <a:r>
                            <a:rPr lang="en-US" altLang="zh-CN" sz="1200" dirty="0" smtClean="0">
                              <a:solidFill>
                                <a:srgbClr val="000000"/>
                              </a:solidFill>
                              <a:cs typeface="Arial" pitchFamily="34" charset="0"/>
                            </a:rPr>
                            <a:t>whose SINR larger than </a:t>
                          </a:r>
                        </a:p>
                        <a:p>
                          <a:pPr marL="342900" indent="-342900">
                            <a:buFont typeface="Arial" pitchFamily="34" charset="0"/>
                            <a:buNone/>
                          </a:pPr>
                          <a:r>
                            <a:rPr lang="en-US" altLang="zh-CN" sz="1200" dirty="0" smtClean="0">
                              <a:solidFill>
                                <a:srgbClr val="000000"/>
                              </a:solidFill>
                              <a:cs typeface="Arial" pitchFamily="34" charset="0"/>
                            </a:rPr>
                            <a:t>the threshold</a:t>
                          </a:r>
                        </a:p>
                      </a:txBody>
                      <a:useSpRect/>
                    </a:txSp>
                  </a:sp>
                  <a:cxnSp>
                    <a:nvCxnSpPr>
                      <a:cNvPr id="83" name="直接箭头连接符 82"/>
                      <a:cNvCxnSpPr/>
                    </a:nvCxnSpPr>
                    <a:spPr bwMode="auto">
                      <a:xfrm>
                        <a:off x="4993539" y="1162458"/>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84" name="直接箭头连接符 83"/>
                      <a:cNvCxnSpPr/>
                    </a:nvCxnSpPr>
                    <a:spPr bwMode="auto">
                      <a:xfrm>
                        <a:off x="4993539" y="1444620"/>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85" name="直接箭头连接符 84"/>
                      <a:cNvCxnSpPr/>
                    </a:nvCxnSpPr>
                    <a:spPr bwMode="auto">
                      <a:xfrm>
                        <a:off x="4993539" y="1091918"/>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86" name="直接箭头连接符 85"/>
                      <a:cNvCxnSpPr/>
                    </a:nvCxnSpPr>
                    <a:spPr bwMode="auto">
                      <a:xfrm>
                        <a:off x="4993539" y="1303539"/>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87" name="直接箭头连接符 86"/>
                      <a:cNvCxnSpPr/>
                    </a:nvCxnSpPr>
                    <a:spPr bwMode="auto">
                      <a:xfrm>
                        <a:off x="4993539" y="1585701"/>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cxnSp>
                    <a:nvCxnSpPr>
                      <a:cNvPr id="88" name="直接箭头连接符 87"/>
                      <a:cNvCxnSpPr/>
                    </a:nvCxnSpPr>
                    <a:spPr bwMode="auto">
                      <a:xfrm>
                        <a:off x="4993539" y="2150026"/>
                        <a:ext cx="299598" cy="1883"/>
                      </a:xfrm>
                      <a:prstGeom prst="straightConnector1">
                        <a:avLst/>
                      </a:prstGeom>
                      <a:solidFill>
                        <a:schemeClr val="accent1"/>
                      </a:solidFill>
                      <a:ln w="9525" cap="flat" cmpd="sng" algn="ctr">
                        <a:solidFill>
                          <a:srgbClr val="000000"/>
                        </a:solidFill>
                        <a:prstDash val="solid"/>
                        <a:round/>
                        <a:headEnd type="none" w="med" len="med"/>
                        <a:tailEnd type="arrow"/>
                      </a:ln>
                      <a:effectLst/>
                    </a:spPr>
                  </a:cxnSp>
                  <a:sp>
                    <a:nvSpPr>
                      <a:cNvPr id="122" name="矩形 121"/>
                      <a:cNvSpPr/>
                    </a:nvSpPr>
                    <a:spPr bwMode="auto">
                      <a:xfrm>
                        <a:off x="7275080" y="1091918"/>
                        <a:ext cx="1690677" cy="1058108"/>
                      </a:xfrm>
                      <a:prstGeom prst="rect">
                        <a:avLst/>
                      </a:prstGeom>
                      <a:noFill/>
                      <a:ln w="9525" cap="flat" cmpd="sng" algn="ctr">
                        <a:solidFill>
                          <a:srgbClr val="000000"/>
                        </a:solidFill>
                        <a:prstDash val="solid"/>
                        <a:round/>
                        <a:headEnd type="none" w="med" len="med"/>
                        <a:tailEnd type="none" w="med" len="med"/>
                      </a:ln>
                      <a:effectLst/>
                    </a:spPr>
                    <a:txSp>
                      <a:txBody>
                        <a:bodyPr vert="horz" wrap="square" lIns="0" tIns="0" rIns="0" bIns="0" numCol="1" rtlCol="0" anchor="ctr" anchorCtr="1"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342900" indent="-342900" algn="ctr">
                            <a:buFont typeface="Arial" pitchFamily="34" charset="0"/>
                            <a:buNone/>
                          </a:pPr>
                          <a:r>
                            <a:rPr lang="en-US" altLang="zh-CN" sz="1400" b="1" u="sng" smtClean="0">
                              <a:solidFill>
                                <a:srgbClr val="000000"/>
                              </a:solidFill>
                              <a:cs typeface="Arial" pitchFamily="34" charset="0"/>
                            </a:rPr>
                            <a:t>Demod &amp; Decoding</a:t>
                          </a:r>
                        </a:p>
                      </a:txBody>
                      <a:useSpRect/>
                    </a:txSp>
                  </a:sp>
                  <a:sp>
                    <a:nvSpPr>
                      <a:cNvPr id="155" name="矩形 154"/>
                      <a:cNvSpPr/>
                    </a:nvSpPr>
                    <a:spPr>
                      <a:xfrm>
                        <a:off x="2317965" y="3019001"/>
                        <a:ext cx="3317342" cy="738664"/>
                      </a:xfrm>
                      <a:prstGeom prst="rect">
                        <a:avLst/>
                      </a:prstGeom>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0" lvl="2" algn="ctr">
                            <a:buFont typeface="Arial" pitchFamily="34" charset="0"/>
                            <a:buNone/>
                          </a:pPr>
                          <a:r>
                            <a:rPr lang="en-US" altLang="zh-CN" sz="1400" b="1" u="sng" kern="0" dirty="0" smtClean="0">
                              <a:solidFill>
                                <a:srgbClr val="000000"/>
                              </a:solidFill>
                              <a:latin typeface="Arial" pitchFamily="34" charset="0"/>
                              <a:ea typeface="微软雅黑" pitchFamily="34" charset="-122"/>
                              <a:cs typeface="Arial" pitchFamily="34" charset="0"/>
                            </a:rPr>
                            <a:t>SIC type receiver</a:t>
                          </a:r>
                        </a:p>
                        <a:p>
                          <a:pPr marL="0" lvl="2">
                            <a:buFont typeface="Arial" pitchFamily="34" charset="0"/>
                            <a:buNone/>
                          </a:pPr>
                          <a:r>
                            <a:rPr lang="en-US" altLang="zh-CN" sz="1400" kern="0" dirty="0" smtClean="0">
                              <a:solidFill>
                                <a:srgbClr val="000000"/>
                              </a:solidFill>
                              <a:latin typeface="Arial" pitchFamily="34" charset="0"/>
                              <a:ea typeface="微软雅黑" pitchFamily="34" charset="-122"/>
                              <a:cs typeface="Arial" pitchFamily="34" charset="0"/>
                            </a:rPr>
                            <a:t>Take full advantage of  the inherent near-far phenomenon of grant-free MA</a:t>
                          </a:r>
                        </a:p>
                      </a:txBody>
                      <a:useSpRect/>
                    </a:txSp>
                  </a:sp>
                  <a:grpSp>
                    <a:nvGrpSpPr>
                      <a:cNvPr id="2" name="组合 187"/>
                      <a:cNvGrpSpPr/>
                    </a:nvGrpSpPr>
                    <a:grpSpPr>
                      <a:xfrm>
                        <a:off x="6933985" y="1358526"/>
                        <a:ext cx="368305" cy="552747"/>
                        <a:chOff x="5846998" y="831166"/>
                        <a:chExt cx="360000" cy="552747"/>
                      </a:xfrm>
                    </a:grpSpPr>
                    <a:cxnSp>
                      <a:nvCxnSpPr>
                        <a:cNvPr id="90" name="直接箭头连接符 89"/>
                        <a:cNvCxnSpPr/>
                      </a:nvCxnSpPr>
                      <a:spPr bwMode="auto">
                        <a:xfrm>
                          <a:off x="5846998" y="1051512"/>
                          <a:ext cx="360000" cy="1883"/>
                        </a:xfrm>
                        <a:prstGeom prst="straightConnector1">
                          <a:avLst/>
                        </a:prstGeom>
                        <a:solidFill>
                          <a:schemeClr val="accent1"/>
                        </a:solidFill>
                        <a:ln w="28575" cap="flat" cmpd="sng" algn="ctr">
                          <a:solidFill>
                            <a:srgbClr val="000000"/>
                          </a:solidFill>
                          <a:prstDash val="solid"/>
                          <a:round/>
                          <a:headEnd type="none" w="med" len="med"/>
                          <a:tailEnd type="arrow"/>
                        </a:ln>
                        <a:effectLst/>
                      </a:spPr>
                    </a:cxnSp>
                    <a:cxnSp>
                      <a:nvCxnSpPr>
                        <a:cNvPr id="91" name="直接箭头连接符 90"/>
                        <a:cNvCxnSpPr/>
                      </a:nvCxnSpPr>
                      <a:spPr bwMode="auto">
                        <a:xfrm>
                          <a:off x="5846998" y="941339"/>
                          <a:ext cx="360000" cy="1883"/>
                        </a:xfrm>
                        <a:prstGeom prst="straightConnector1">
                          <a:avLst/>
                        </a:prstGeom>
                        <a:solidFill>
                          <a:schemeClr val="accent1"/>
                        </a:solidFill>
                        <a:ln w="28575" cap="flat" cmpd="sng" algn="ctr">
                          <a:solidFill>
                            <a:srgbClr val="000000"/>
                          </a:solidFill>
                          <a:prstDash val="solid"/>
                          <a:round/>
                          <a:headEnd type="none" w="med" len="med"/>
                          <a:tailEnd type="arrow"/>
                        </a:ln>
                        <a:effectLst/>
                      </a:spPr>
                    </a:cxnSp>
                    <a:cxnSp>
                      <a:nvCxnSpPr>
                        <a:cNvPr id="92" name="直接箭头连接符 91"/>
                        <a:cNvCxnSpPr/>
                      </a:nvCxnSpPr>
                      <a:spPr bwMode="auto">
                        <a:xfrm>
                          <a:off x="5846998" y="831166"/>
                          <a:ext cx="360000" cy="1883"/>
                        </a:xfrm>
                        <a:prstGeom prst="straightConnector1">
                          <a:avLst/>
                        </a:prstGeom>
                        <a:solidFill>
                          <a:schemeClr val="accent1"/>
                        </a:solidFill>
                        <a:ln w="28575" cap="flat" cmpd="sng" algn="ctr">
                          <a:solidFill>
                            <a:srgbClr val="000000"/>
                          </a:solidFill>
                          <a:prstDash val="solid"/>
                          <a:round/>
                          <a:headEnd type="none" w="med" len="med"/>
                          <a:tailEnd type="arrow"/>
                        </a:ln>
                        <a:effectLst/>
                      </a:spPr>
                    </a:cxnSp>
                    <a:cxnSp>
                      <a:nvCxnSpPr>
                        <a:cNvPr id="94" name="直接箭头连接符 93"/>
                        <a:cNvCxnSpPr/>
                      </a:nvCxnSpPr>
                      <a:spPr bwMode="auto">
                        <a:xfrm>
                          <a:off x="5846998" y="1161685"/>
                          <a:ext cx="360000" cy="1883"/>
                        </a:xfrm>
                        <a:prstGeom prst="straightConnector1">
                          <a:avLst/>
                        </a:prstGeom>
                        <a:solidFill>
                          <a:schemeClr val="accent1"/>
                        </a:solidFill>
                        <a:ln w="28575" cap="flat" cmpd="sng" algn="ctr">
                          <a:solidFill>
                            <a:srgbClr val="000000"/>
                          </a:solidFill>
                          <a:prstDash val="solid"/>
                          <a:round/>
                          <a:headEnd type="none" w="med" len="med"/>
                          <a:tailEnd type="arrow"/>
                        </a:ln>
                        <a:effectLst/>
                      </a:spPr>
                    </a:cxnSp>
                    <a:cxnSp>
                      <a:nvCxnSpPr>
                        <a:cNvPr id="157" name="直接箭头连接符 156"/>
                        <a:cNvCxnSpPr/>
                      </a:nvCxnSpPr>
                      <a:spPr bwMode="auto">
                        <a:xfrm>
                          <a:off x="5846998" y="1271858"/>
                          <a:ext cx="360000" cy="1883"/>
                        </a:xfrm>
                        <a:prstGeom prst="straightConnector1">
                          <a:avLst/>
                        </a:prstGeom>
                        <a:solidFill>
                          <a:schemeClr val="accent1"/>
                        </a:solidFill>
                        <a:ln w="28575" cap="flat" cmpd="sng" algn="ctr">
                          <a:solidFill>
                            <a:srgbClr val="000000"/>
                          </a:solidFill>
                          <a:prstDash val="solid"/>
                          <a:round/>
                          <a:headEnd type="none" w="med" len="med"/>
                          <a:tailEnd type="arrow"/>
                        </a:ln>
                        <a:effectLst/>
                      </a:spPr>
                    </a:cxnSp>
                    <a:cxnSp>
                      <a:nvCxnSpPr>
                        <a:cNvPr id="160" name="直接箭头连接符 159"/>
                        <a:cNvCxnSpPr/>
                      </a:nvCxnSpPr>
                      <a:spPr bwMode="auto">
                        <a:xfrm>
                          <a:off x="5846998" y="1382030"/>
                          <a:ext cx="360000" cy="1883"/>
                        </a:xfrm>
                        <a:prstGeom prst="straightConnector1">
                          <a:avLst/>
                        </a:prstGeom>
                        <a:solidFill>
                          <a:schemeClr val="accent1"/>
                        </a:solidFill>
                        <a:ln w="28575" cap="flat" cmpd="sng" algn="ctr">
                          <a:solidFill>
                            <a:srgbClr val="000000"/>
                          </a:solidFill>
                          <a:prstDash val="solid"/>
                          <a:round/>
                          <a:headEnd type="none" w="med" len="med"/>
                          <a:tailEnd type="arrow"/>
                        </a:ln>
                        <a:effectLst/>
                      </a:spPr>
                    </a:cxnSp>
                  </a:grpSp>
                  <a:grpSp>
                    <a:nvGrpSpPr>
                      <a:cNvPr id="3" name="组合 188"/>
                      <a:cNvGrpSpPr/>
                    </a:nvGrpSpPr>
                    <a:grpSpPr>
                      <a:xfrm>
                        <a:off x="8102285" y="2157508"/>
                        <a:ext cx="692670" cy="631951"/>
                        <a:chOff x="6974954" y="1630149"/>
                        <a:chExt cx="692670" cy="512974"/>
                      </a:xfrm>
                    </a:grpSpPr>
                    <a:grpSp>
                      <a:nvGrpSpPr>
                        <a:cNvPr id="32" name="组合 178"/>
                        <a:cNvGrpSpPr/>
                      </a:nvGrpSpPr>
                      <a:grpSpPr>
                        <a:xfrm rot="5400000">
                          <a:off x="7075107" y="1550528"/>
                          <a:ext cx="512974" cy="672219"/>
                          <a:chOff x="7994630" y="831166"/>
                          <a:chExt cx="360000" cy="552747"/>
                        </a:xfrm>
                      </a:grpSpPr>
                      <a:cxnSp>
                        <a:nvCxnSpPr>
                          <a:cNvPr id="167" name="直接箭头连接符 166"/>
                          <a:cNvCxnSpPr/>
                        </a:nvCxnSpPr>
                        <a:spPr bwMode="auto">
                          <a:xfrm>
                            <a:off x="7994630" y="1051512"/>
                            <a:ext cx="180000" cy="1883"/>
                          </a:xfrm>
                          <a:prstGeom prst="straightConnector1">
                            <a:avLst/>
                          </a:prstGeom>
                          <a:solidFill>
                            <a:schemeClr val="accent1"/>
                          </a:solidFill>
                          <a:ln w="28575" cap="flat" cmpd="sng" algn="ctr">
                            <a:solidFill>
                              <a:srgbClr val="C00000"/>
                            </a:solidFill>
                            <a:prstDash val="solid"/>
                            <a:round/>
                            <a:headEnd type="none" w="med" len="med"/>
                            <a:tailEnd type="arrow"/>
                          </a:ln>
                          <a:effectLst/>
                        </a:spPr>
                      </a:cxnSp>
                      <a:cxnSp>
                        <a:nvCxnSpPr>
                          <a:cNvPr id="168" name="直接箭头连接符 167"/>
                          <a:cNvCxnSpPr/>
                        </a:nvCxnSpPr>
                        <a:spPr bwMode="auto">
                          <a:xfrm>
                            <a:off x="7994630" y="941339"/>
                            <a:ext cx="360000" cy="1883"/>
                          </a:xfrm>
                          <a:prstGeom prst="straightConnector1">
                            <a:avLst/>
                          </a:prstGeom>
                          <a:solidFill>
                            <a:schemeClr val="accent1"/>
                          </a:solidFill>
                          <a:ln w="28575" cap="flat" cmpd="sng" algn="ctr">
                            <a:solidFill>
                              <a:srgbClr val="00B050"/>
                            </a:solidFill>
                            <a:prstDash val="solid"/>
                            <a:round/>
                            <a:headEnd type="none" w="med" len="med"/>
                            <a:tailEnd type="arrow"/>
                          </a:ln>
                          <a:effectLst/>
                        </a:spPr>
                      </a:cxnSp>
                      <a:cxnSp>
                        <a:nvCxnSpPr>
                          <a:cNvPr id="169" name="直接箭头连接符 168"/>
                          <a:cNvCxnSpPr/>
                        </a:nvCxnSpPr>
                        <a:spPr bwMode="auto">
                          <a:xfrm>
                            <a:off x="7994630" y="831166"/>
                            <a:ext cx="360000" cy="1883"/>
                          </a:xfrm>
                          <a:prstGeom prst="straightConnector1">
                            <a:avLst/>
                          </a:prstGeom>
                          <a:solidFill>
                            <a:schemeClr val="accent1"/>
                          </a:solidFill>
                          <a:ln w="28575" cap="flat" cmpd="sng" algn="ctr">
                            <a:solidFill>
                              <a:srgbClr val="00B050"/>
                            </a:solidFill>
                            <a:prstDash val="solid"/>
                            <a:round/>
                            <a:headEnd type="none" w="med" len="med"/>
                            <a:tailEnd type="arrow"/>
                          </a:ln>
                          <a:effectLst/>
                        </a:spPr>
                      </a:cxnSp>
                      <a:cxnSp>
                        <a:nvCxnSpPr>
                          <a:cNvPr id="170" name="直接箭头连接符 169"/>
                          <a:cNvCxnSpPr/>
                        </a:nvCxnSpPr>
                        <a:spPr bwMode="auto">
                          <a:xfrm>
                            <a:off x="7994630" y="1161685"/>
                            <a:ext cx="360000" cy="1883"/>
                          </a:xfrm>
                          <a:prstGeom prst="straightConnector1">
                            <a:avLst/>
                          </a:prstGeom>
                          <a:solidFill>
                            <a:schemeClr val="accent1"/>
                          </a:solidFill>
                          <a:ln w="28575" cap="flat" cmpd="sng" algn="ctr">
                            <a:solidFill>
                              <a:srgbClr val="00B050"/>
                            </a:solidFill>
                            <a:prstDash val="solid"/>
                            <a:round/>
                            <a:headEnd type="none" w="med" len="med"/>
                            <a:tailEnd type="arrow"/>
                          </a:ln>
                          <a:effectLst/>
                        </a:spPr>
                      </a:cxnSp>
                      <a:cxnSp>
                        <a:nvCxnSpPr>
                          <a:cNvPr id="171" name="直接箭头连接符 170"/>
                          <a:cNvCxnSpPr/>
                        </a:nvCxnSpPr>
                        <a:spPr bwMode="auto">
                          <a:xfrm>
                            <a:off x="7994630" y="1271858"/>
                            <a:ext cx="180000" cy="1883"/>
                          </a:xfrm>
                          <a:prstGeom prst="straightConnector1">
                            <a:avLst/>
                          </a:prstGeom>
                          <a:solidFill>
                            <a:schemeClr val="accent1"/>
                          </a:solidFill>
                          <a:ln w="28575" cap="flat" cmpd="sng" algn="ctr">
                            <a:solidFill>
                              <a:srgbClr val="C00000"/>
                            </a:solidFill>
                            <a:prstDash val="solid"/>
                            <a:round/>
                            <a:headEnd type="none" w="med" len="med"/>
                            <a:tailEnd type="arrow"/>
                          </a:ln>
                          <a:effectLst/>
                        </a:spPr>
                      </a:cxnSp>
                      <a:cxnSp>
                        <a:nvCxnSpPr>
                          <a:cNvPr id="172" name="直接箭头连接符 171"/>
                          <a:cNvCxnSpPr/>
                        </a:nvCxnSpPr>
                        <a:spPr bwMode="auto">
                          <a:xfrm>
                            <a:off x="7994630" y="1382030"/>
                            <a:ext cx="360000" cy="1883"/>
                          </a:xfrm>
                          <a:prstGeom prst="straightConnector1">
                            <a:avLst/>
                          </a:prstGeom>
                          <a:solidFill>
                            <a:schemeClr val="accent1"/>
                          </a:solidFill>
                          <a:ln w="28575" cap="flat" cmpd="sng" algn="ctr">
                            <a:solidFill>
                              <a:srgbClr val="00B050"/>
                            </a:solidFill>
                            <a:prstDash val="solid"/>
                            <a:round/>
                            <a:headEnd type="none" w="med" len="med"/>
                            <a:tailEnd type="arrow"/>
                          </a:ln>
                          <a:effectLst/>
                        </a:spPr>
                      </a:cxnSp>
                    </a:grpSp>
                    <a:sp>
                      <a:nvSpPr>
                        <a:cNvPr id="173" name="矩形 172"/>
                        <a:cNvSpPr/>
                      </a:nvSpPr>
                      <a:spPr>
                        <a:xfrm rot="5400000">
                          <a:off x="7271049" y="1785882"/>
                          <a:ext cx="276216" cy="338554"/>
                        </a:xfrm>
                        <a:prstGeom prst="rect">
                          <a:avLst/>
                        </a:prstGeom>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0" lvl="2">
                              <a:buFont typeface="Arial" pitchFamily="34" charset="0"/>
                              <a:buNone/>
                            </a:pPr>
                            <a:r>
                              <a:rPr lang="en-US" altLang="zh-CN" sz="1600" b="1" kern="0" smtClean="0">
                                <a:solidFill>
                                  <a:srgbClr val="C00000"/>
                                </a:solidFill>
                                <a:latin typeface="Arial" pitchFamily="34" charset="0"/>
                                <a:ea typeface="微软雅黑" pitchFamily="34" charset="-122"/>
                                <a:cs typeface="Arial" pitchFamily="34" charset="0"/>
                              </a:rPr>
                              <a:t>x</a:t>
                            </a:r>
                          </a:p>
                        </a:txBody>
                        <a:useSpRect/>
                      </a:txSp>
                    </a:sp>
                    <a:sp>
                      <a:nvSpPr>
                        <a:cNvPr id="174" name="矩形 173"/>
                        <a:cNvSpPr/>
                      </a:nvSpPr>
                      <a:spPr>
                        <a:xfrm rot="5400000">
                          <a:off x="7006123" y="1780335"/>
                          <a:ext cx="276216" cy="338554"/>
                        </a:xfrm>
                        <a:prstGeom prst="rect">
                          <a:avLst/>
                        </a:prstGeom>
                      </a:spPr>
                      <a:txSp>
                        <a:txBody>
                          <a:bodyPr wrap="squar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0" lvl="2">
                              <a:buFont typeface="Arial" pitchFamily="34" charset="0"/>
                              <a:buNone/>
                            </a:pPr>
                            <a:r>
                              <a:rPr lang="en-US" altLang="zh-CN" sz="1600" b="1" kern="0" smtClean="0">
                                <a:solidFill>
                                  <a:srgbClr val="C00000"/>
                                </a:solidFill>
                                <a:latin typeface="Arial" pitchFamily="34" charset="0"/>
                                <a:ea typeface="微软雅黑" pitchFamily="34" charset="-122"/>
                                <a:cs typeface="Arial" pitchFamily="34" charset="0"/>
                              </a:rPr>
                              <a:t>x</a:t>
                            </a:r>
                          </a:p>
                        </a:txBody>
                        <a:useSpRect/>
                      </a:txSp>
                    </a:sp>
                  </a:grpSp>
                  <a:sp>
                    <a:nvSpPr>
                      <a:cNvPr id="178" name="矩形 177"/>
                      <a:cNvSpPr/>
                    </a:nvSpPr>
                    <a:spPr bwMode="auto">
                      <a:xfrm>
                        <a:off x="7129940" y="2789459"/>
                        <a:ext cx="1930605" cy="598875"/>
                      </a:xfrm>
                      <a:prstGeom prst="rect">
                        <a:avLst/>
                      </a:prstGeom>
                      <a:noFill/>
                      <a:ln w="9525" cap="flat" cmpd="sng" algn="ctr">
                        <a:solidFill>
                          <a:srgbClr val="000000"/>
                        </a:solidFill>
                        <a:prstDash val="solid"/>
                        <a:round/>
                        <a:headEnd type="none" w="med" len="med"/>
                        <a:tailEnd type="none" w="med" len="med"/>
                      </a:ln>
                      <a:effectLst/>
                    </a:spPr>
                    <a:txSp>
                      <a:txBody>
                        <a:bodyPr vert="horz" wrap="square" lIns="0" tIns="0" rIns="0" bIns="0" numCol="1" rtlCol="0" anchor="ctr" anchorCtr="1"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342900" indent="-342900" algn="ctr">
                            <a:buFont typeface="Arial" pitchFamily="34" charset="0"/>
                            <a:buNone/>
                          </a:pPr>
                          <a:r>
                            <a:rPr lang="en-US" altLang="zh-CN" sz="1400" b="1" u="sng" dirty="0" smtClean="0">
                              <a:solidFill>
                                <a:srgbClr val="000000"/>
                              </a:solidFill>
                              <a:cs typeface="Arial" pitchFamily="34" charset="0"/>
                            </a:rPr>
                            <a:t>Joint Channel Estimation</a:t>
                          </a:r>
                        </a:p>
                        <a:p>
                          <a:pPr marL="342900" indent="-342900" algn="ctr">
                            <a:buFont typeface="Arial" pitchFamily="34" charset="0"/>
                            <a:buNone/>
                          </a:pPr>
                          <a:r>
                            <a:rPr lang="en-US" altLang="zh-CN" sz="1400" b="1" u="sng" dirty="0" smtClean="0">
                              <a:solidFill>
                                <a:srgbClr val="000000"/>
                              </a:solidFill>
                              <a:cs typeface="Arial" pitchFamily="34" charset="0"/>
                            </a:rPr>
                            <a:t>&amp; Reconstruction</a:t>
                          </a:r>
                        </a:p>
                        <a:p>
                          <a:pPr marL="342900" indent="-342900" algn="ctr">
                            <a:buFont typeface="Arial" pitchFamily="34" charset="0"/>
                            <a:buNone/>
                          </a:pPr>
                          <a:r>
                            <a:rPr lang="en-US" altLang="zh-CN" sz="1400" b="1" u="sng" dirty="0" smtClean="0">
                              <a:solidFill>
                                <a:srgbClr val="000000"/>
                              </a:solidFill>
                              <a:cs typeface="Arial" pitchFamily="34" charset="0"/>
                            </a:rPr>
                            <a:t>(</a:t>
                          </a:r>
                          <a:r>
                            <a:rPr lang="en-US" altLang="zh-CN" sz="1400" b="1" u="sng" dirty="0" err="1" smtClean="0">
                              <a:solidFill>
                                <a:srgbClr val="000000"/>
                              </a:solidFill>
                              <a:cs typeface="Arial" pitchFamily="34" charset="0"/>
                            </a:rPr>
                            <a:t>Includiong</a:t>
                          </a:r>
                          <a:r>
                            <a:rPr lang="en-US" altLang="zh-CN" sz="1400" b="1" u="sng" dirty="0" smtClean="0">
                              <a:solidFill>
                                <a:srgbClr val="000000"/>
                              </a:solidFill>
                              <a:cs typeface="Arial" pitchFamily="34" charset="0"/>
                            </a:rPr>
                            <a:t> TA Estimation)</a:t>
                          </a:r>
                        </a:p>
                      </a:txBody>
                      <a:useSpRect/>
                    </a:txSp>
                  </a:sp>
                  <a:grpSp>
                    <a:nvGrpSpPr>
                      <a:cNvPr id="5" name="组合 190"/>
                      <a:cNvGrpSpPr/>
                    </a:nvGrpSpPr>
                    <a:grpSpPr>
                      <a:xfrm rot="5400000">
                        <a:off x="7802334" y="3708812"/>
                        <a:ext cx="1313174" cy="672219"/>
                        <a:chOff x="7994630" y="831166"/>
                        <a:chExt cx="360000" cy="552747"/>
                      </a:xfrm>
                    </a:grpSpPr>
                    <a:cxnSp>
                      <a:nvCxnSpPr>
                        <a:cNvPr id="195" name="直接箭头连接符 194"/>
                        <a:cNvCxnSpPr/>
                      </a:nvCxnSpPr>
                      <a:spPr bwMode="auto">
                        <a:xfrm>
                          <a:off x="7994630" y="941339"/>
                          <a:ext cx="360000" cy="1883"/>
                        </a:xfrm>
                        <a:prstGeom prst="straightConnector1">
                          <a:avLst/>
                        </a:prstGeom>
                        <a:solidFill>
                          <a:schemeClr val="accent1"/>
                        </a:solidFill>
                        <a:ln w="28575" cap="flat" cmpd="sng" algn="ctr">
                          <a:solidFill>
                            <a:srgbClr val="00B050"/>
                          </a:solidFill>
                          <a:prstDash val="solid"/>
                          <a:round/>
                          <a:headEnd type="none" w="med" len="med"/>
                          <a:tailEnd type="arrow"/>
                        </a:ln>
                        <a:effectLst/>
                      </a:spPr>
                    </a:cxnSp>
                    <a:cxnSp>
                      <a:nvCxnSpPr>
                        <a:cNvPr id="196" name="直接箭头连接符 195"/>
                        <a:cNvCxnSpPr/>
                      </a:nvCxnSpPr>
                      <a:spPr bwMode="auto">
                        <a:xfrm>
                          <a:off x="7994630" y="831166"/>
                          <a:ext cx="360000" cy="1883"/>
                        </a:xfrm>
                        <a:prstGeom prst="straightConnector1">
                          <a:avLst/>
                        </a:prstGeom>
                        <a:solidFill>
                          <a:schemeClr val="accent1"/>
                        </a:solidFill>
                        <a:ln w="28575" cap="flat" cmpd="sng" algn="ctr">
                          <a:solidFill>
                            <a:srgbClr val="00B050"/>
                          </a:solidFill>
                          <a:prstDash val="solid"/>
                          <a:round/>
                          <a:headEnd type="none" w="med" len="med"/>
                          <a:tailEnd type="arrow"/>
                        </a:ln>
                        <a:effectLst/>
                      </a:spPr>
                    </a:cxnSp>
                    <a:cxnSp>
                      <a:nvCxnSpPr>
                        <a:cNvPr id="197" name="直接箭头连接符 196"/>
                        <a:cNvCxnSpPr/>
                      </a:nvCxnSpPr>
                      <a:spPr bwMode="auto">
                        <a:xfrm>
                          <a:off x="7994630" y="1161685"/>
                          <a:ext cx="360000" cy="1883"/>
                        </a:xfrm>
                        <a:prstGeom prst="straightConnector1">
                          <a:avLst/>
                        </a:prstGeom>
                        <a:solidFill>
                          <a:schemeClr val="accent1"/>
                        </a:solidFill>
                        <a:ln w="28575" cap="flat" cmpd="sng" algn="ctr">
                          <a:solidFill>
                            <a:srgbClr val="00B050"/>
                          </a:solidFill>
                          <a:prstDash val="solid"/>
                          <a:round/>
                          <a:headEnd type="none" w="med" len="med"/>
                          <a:tailEnd type="arrow"/>
                        </a:ln>
                        <a:effectLst/>
                      </a:spPr>
                    </a:cxnSp>
                    <a:cxnSp>
                      <a:nvCxnSpPr>
                        <a:cNvPr id="199" name="直接箭头连接符 198"/>
                        <a:cNvCxnSpPr/>
                      </a:nvCxnSpPr>
                      <a:spPr bwMode="auto">
                        <a:xfrm>
                          <a:off x="7994630" y="1382030"/>
                          <a:ext cx="360000" cy="1883"/>
                        </a:xfrm>
                        <a:prstGeom prst="straightConnector1">
                          <a:avLst/>
                        </a:prstGeom>
                        <a:solidFill>
                          <a:schemeClr val="accent1"/>
                        </a:solidFill>
                        <a:ln w="28575" cap="flat" cmpd="sng" algn="ctr">
                          <a:solidFill>
                            <a:srgbClr val="00B050"/>
                          </a:solidFill>
                          <a:prstDash val="solid"/>
                          <a:round/>
                          <a:headEnd type="none" w="med" len="med"/>
                          <a:tailEnd type="arrow"/>
                        </a:ln>
                        <a:effectLst/>
                      </a:spPr>
                    </a:cxnSp>
                  </a:grpSp>
                  <a:grpSp>
                    <a:nvGrpSpPr>
                      <a:cNvPr id="6" name="组合 206"/>
                      <a:cNvGrpSpPr/>
                    </a:nvGrpSpPr>
                    <a:grpSpPr>
                      <a:xfrm>
                        <a:off x="735266" y="1428941"/>
                        <a:ext cx="360386" cy="360386"/>
                        <a:chOff x="654336" y="931635"/>
                        <a:chExt cx="348077" cy="348077"/>
                      </a:xfrm>
                    </a:grpSpPr>
                    <a:sp>
                      <a:nvSpPr>
                        <a:cNvPr id="202" name="椭圆 201"/>
                        <a:cNvSpPr/>
                      </a:nvSpPr>
                      <a:spPr bwMode="auto">
                        <a:xfrm>
                          <a:off x="654336" y="931635"/>
                          <a:ext cx="348077" cy="348077"/>
                        </a:xfrm>
                        <a:prstGeom prst="ellipse">
                          <a:avLst/>
                        </a:prstGeom>
                        <a:noFill/>
                        <a:ln w="28575" cap="flat" cmpd="sng" algn="ctr">
                          <a:solidFill>
                            <a:srgbClr val="000000"/>
                          </a:solidFill>
                          <a:prstDash val="solid"/>
                          <a:round/>
                          <a:headEnd type="none" w="med" len="med"/>
                          <a:tailEnd type="none" w="med" len="med"/>
                        </a:ln>
                        <a:effectLst/>
                      </a:spPr>
                      <a:txSp>
                        <a:txBody>
                          <a:bodyPr vert="horz" wrap="square" lIns="91440" tIns="45720" rIns="91440" bIns="45720" numCol="1" rtlCol="0" anchor="ctr" anchorCtr="1"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buFont typeface="Arial" pitchFamily="34" charset="0"/>
                              <a:buNone/>
                            </a:pPr>
                            <a:endParaRPr lang="zh-CN" altLang="en-US" sz="5400" smtClean="0">
                              <a:solidFill>
                                <a:srgbClr val="008ED3"/>
                              </a:solidFill>
                              <a:cs typeface="Arial" pitchFamily="34" charset="0"/>
                            </a:endParaRPr>
                          </a:p>
                        </a:txBody>
                        <a:useSpRect/>
                      </a:txSp>
                    </a:sp>
                    <a:cxnSp>
                      <a:nvCxnSpPr>
                        <a:cNvPr id="205" name="直接连接符 204"/>
                        <a:cNvCxnSpPr/>
                      </a:nvCxnSpPr>
                      <a:spPr bwMode="auto">
                        <a:xfrm>
                          <a:off x="726911" y="1110169"/>
                          <a:ext cx="199539" cy="0"/>
                        </a:xfrm>
                        <a:prstGeom prst="line">
                          <a:avLst/>
                        </a:prstGeom>
                        <a:solidFill>
                          <a:schemeClr val="accent1"/>
                        </a:solidFill>
                        <a:ln w="38100" cap="flat" cmpd="sng" algn="ctr">
                          <a:solidFill>
                            <a:srgbClr val="000000"/>
                          </a:solidFill>
                          <a:prstDash val="solid"/>
                          <a:round/>
                          <a:headEnd type="none" w="med" len="med"/>
                          <a:tailEnd type="none" w="med" len="med"/>
                        </a:ln>
                        <a:effectLst/>
                      </a:spPr>
                    </a:cxnSp>
                  </a:grpSp>
                  <a:sp>
                    <a:nvSpPr>
                      <a:cNvPr id="208" name="右箭头 207"/>
                      <a:cNvSpPr>
                        <a:spLocks/>
                      </a:cNvSpPr>
                    </a:nvSpPr>
                    <a:spPr bwMode="auto">
                      <a:xfrm rot="10800000">
                        <a:off x="810405" y="4662251"/>
                        <a:ext cx="8155351" cy="200930"/>
                      </a:xfrm>
                      <a:prstGeom prst="rightArrow">
                        <a:avLst/>
                      </a:prstGeom>
                      <a:solidFill>
                        <a:srgbClr val="8CC63E"/>
                      </a:solidFill>
                      <a:ln w="9525" cap="flat" cmpd="sng" algn="ctr">
                        <a:solidFill>
                          <a:srgbClr val="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buFont typeface="Arial" pitchFamily="34" charset="0"/>
                            <a:buNone/>
                          </a:pPr>
                          <a:endParaRPr lang="zh-CN" altLang="en-US" smtClean="0">
                            <a:solidFill>
                              <a:srgbClr val="008ED3"/>
                            </a:solidFill>
                            <a:cs typeface="Arial" pitchFamily="34" charset="0"/>
                          </a:endParaRPr>
                        </a:p>
                      </a:txBody>
                      <a:useSpRect/>
                    </a:txSp>
                  </a:sp>
                  <a:sp>
                    <a:nvSpPr>
                      <a:cNvPr id="209" name="右箭头 208"/>
                      <a:cNvSpPr>
                        <a:spLocks/>
                      </a:cNvSpPr>
                    </a:nvSpPr>
                    <a:spPr bwMode="auto">
                      <a:xfrm rot="16200000">
                        <a:off x="-544774" y="3110707"/>
                        <a:ext cx="2897906" cy="225645"/>
                      </a:xfrm>
                      <a:prstGeom prst="rightArrow">
                        <a:avLst/>
                      </a:prstGeom>
                      <a:solidFill>
                        <a:srgbClr val="8CC63E"/>
                      </a:solidFill>
                      <a:ln w="9525" cap="flat" cmpd="sng" algn="ctr">
                        <a:solidFill>
                          <a:srgbClr val="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buFont typeface="Arial" pitchFamily="34" charset="0"/>
                            <a:buNone/>
                          </a:pPr>
                          <a:endParaRPr lang="zh-CN" altLang="en-US" smtClean="0">
                            <a:solidFill>
                              <a:srgbClr val="008ED3"/>
                            </a:solidFill>
                            <a:cs typeface="Arial" pitchFamily="34" charset="0"/>
                          </a:endParaRPr>
                        </a:p>
                      </a:txBody>
                      <a:useSpRect/>
                    </a:txSp>
                  </a:sp>
                  <a:sp>
                    <a:nvSpPr>
                      <a:cNvPr id="210" name="右箭头 209"/>
                      <a:cNvSpPr>
                        <a:spLocks/>
                      </a:cNvSpPr>
                    </a:nvSpPr>
                    <a:spPr bwMode="auto">
                      <a:xfrm>
                        <a:off x="1118072" y="1387554"/>
                        <a:ext cx="250340" cy="438628"/>
                      </a:xfrm>
                      <a:prstGeom prst="rightArrow">
                        <a:avLst/>
                      </a:prstGeom>
                      <a:noFill/>
                      <a:ln w="9525" cap="flat" cmpd="sng" algn="ctr">
                        <a:solidFill>
                          <a:srgbClr val="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buFont typeface="Arial" pitchFamily="34" charset="0"/>
                            <a:buNone/>
                          </a:pPr>
                          <a:endParaRPr lang="zh-CN" altLang="en-US" smtClean="0">
                            <a:solidFill>
                              <a:srgbClr val="008ED3"/>
                            </a:solidFill>
                            <a:cs typeface="Arial" pitchFamily="34" charset="0"/>
                          </a:endParaRPr>
                        </a:p>
                      </a:txBody>
                      <a:useSpRect/>
                    </a:txSp>
                  </a:sp>
                  <a:sp>
                    <a:nvSpPr>
                      <a:cNvPr id="61" name="矩形 60"/>
                      <a:cNvSpPr/>
                    </a:nvSpPr>
                    <a:spPr bwMode="auto">
                      <a:xfrm>
                        <a:off x="3368584" y="1093801"/>
                        <a:ext cx="1624955" cy="1058108"/>
                      </a:xfrm>
                      <a:prstGeom prst="rect">
                        <a:avLst/>
                      </a:prstGeom>
                      <a:noFill/>
                      <a:ln w="9525" cap="flat" cmpd="sng" algn="ctr">
                        <a:solidFill>
                          <a:srgbClr val="000000"/>
                        </a:solidFill>
                        <a:prstDash val="solid"/>
                        <a:round/>
                        <a:headEnd type="none" w="med" len="med"/>
                        <a:tailEnd type="none" w="med" len="med"/>
                      </a:ln>
                      <a:effectLst/>
                    </a:spPr>
                    <a:txSp>
                      <a:txBody>
                        <a:bodyPr vert="horz" wrap="square" lIns="0" tIns="0" rIns="0" bIns="0" numCol="1" rtlCol="0" anchor="ctr" anchorCtr="1"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342900" indent="-342900">
                            <a:buFont typeface="Arial" pitchFamily="34" charset="0"/>
                            <a:buNone/>
                          </a:pPr>
                          <a:r>
                            <a:rPr lang="en-US" altLang="zh-CN" sz="1400" b="1" u="sng" dirty="0" smtClean="0">
                              <a:solidFill>
                                <a:srgbClr val="000000"/>
                              </a:solidFill>
                              <a:cs typeface="Arial" pitchFamily="34" charset="0"/>
                            </a:rPr>
                            <a:t>M Correlation </a:t>
                          </a:r>
                        </a:p>
                        <a:p>
                          <a:pPr marL="342900" indent="-342900">
                            <a:buFont typeface="Arial" pitchFamily="34" charset="0"/>
                            <a:buNone/>
                          </a:pPr>
                          <a:r>
                            <a:rPr lang="en-US" altLang="zh-CN" sz="1400" b="1" u="sng" dirty="0" smtClean="0">
                              <a:solidFill>
                                <a:srgbClr val="000000"/>
                              </a:solidFill>
                              <a:cs typeface="Arial" pitchFamily="34" charset="0"/>
                            </a:rPr>
                            <a:t>Operations</a:t>
                          </a:r>
                        </a:p>
                        <a:p>
                          <a:pPr marL="342900" indent="-342900">
                            <a:buFont typeface="Arial" pitchFamily="34" charset="0"/>
                            <a:buNone/>
                          </a:pPr>
                          <a:r>
                            <a:rPr lang="en-US" altLang="zh-CN" sz="1200" dirty="0" smtClean="0">
                              <a:solidFill>
                                <a:srgbClr val="000000"/>
                              </a:solidFill>
                              <a:cs typeface="Arial" pitchFamily="34" charset="0"/>
                            </a:rPr>
                            <a:t>generating M symbol</a:t>
                          </a:r>
                        </a:p>
                        <a:p>
                          <a:pPr marL="342900" indent="-342900">
                            <a:buFont typeface="Arial" pitchFamily="34" charset="0"/>
                            <a:buNone/>
                          </a:pPr>
                          <a:r>
                            <a:rPr lang="en-US" altLang="zh-CN" sz="1200" dirty="0" smtClean="0">
                              <a:solidFill>
                                <a:srgbClr val="000000"/>
                              </a:solidFill>
                              <a:cs typeface="Arial" pitchFamily="34" charset="0"/>
                            </a:rPr>
                            <a:t> streams</a:t>
                          </a:r>
                          <a:endParaRPr lang="zh-CN" altLang="en-US" sz="1200" dirty="0" smtClean="0">
                            <a:solidFill>
                              <a:srgbClr val="000000"/>
                            </a:solidFill>
                            <a:cs typeface="Arial" pitchFamily="34" charset="0"/>
                          </a:endParaRPr>
                        </a:p>
                      </a:txBody>
                      <a:useSpRect/>
                    </a:txSp>
                  </a:sp>
                  <a:sp>
                    <a:nvSpPr>
                      <a:cNvPr id="62" name="右箭头 61"/>
                      <a:cNvSpPr>
                        <a:spLocks/>
                      </a:cNvSpPr>
                    </a:nvSpPr>
                    <a:spPr bwMode="auto">
                      <a:xfrm>
                        <a:off x="2993366" y="1468699"/>
                        <a:ext cx="375218" cy="438628"/>
                      </a:xfrm>
                      <a:prstGeom prst="rightArrow">
                        <a:avLst/>
                      </a:prstGeom>
                      <a:noFill/>
                      <a:ln w="9525" cap="flat" cmpd="sng" algn="ctr">
                        <a:solidFill>
                          <a:srgbClr val="0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a:buFont typeface="Arial" pitchFamily="34" charset="0"/>
                            <a:buNone/>
                          </a:pPr>
                          <a:endParaRPr lang="zh-CN" altLang="en-US" smtClean="0">
                            <a:solidFill>
                              <a:srgbClr val="008ED3"/>
                            </a:solidFill>
                            <a:cs typeface="Arial" pitchFamily="34" charset="0"/>
                          </a:endParaRPr>
                        </a:p>
                      </a:txBody>
                      <a:useSpRect/>
                    </a:txSp>
                  </a:sp>
                </lc:lockedCanvas>
              </a:graphicData>
            </a:graphic>
          </wp:inline>
        </w:drawing>
      </w:r>
    </w:p>
    <w:p w:rsidR="00E527CD" w:rsidRDefault="00E527CD" w:rsidP="00E527CD">
      <w:pPr>
        <w:pStyle w:val="Caption"/>
        <w:jc w:val="center"/>
        <w:rPr>
          <w:b w:val="0"/>
          <w:lang w:eastAsia="zh-CN"/>
        </w:rPr>
      </w:pPr>
      <w:bookmarkStart w:id="6" w:name="_Ref474096305"/>
      <w:r w:rsidRPr="00E527CD">
        <w:rPr>
          <w:b w:val="0"/>
        </w:rPr>
        <w:t xml:space="preserve">Figure </w:t>
      </w:r>
      <w:r w:rsidR="00DD0C31" w:rsidRPr="00E527CD">
        <w:rPr>
          <w:b w:val="0"/>
        </w:rPr>
        <w:fldChar w:fldCharType="begin"/>
      </w:r>
      <w:r w:rsidRPr="00E527CD">
        <w:rPr>
          <w:b w:val="0"/>
        </w:rPr>
        <w:instrText xml:space="preserve"> SEQ Figure \* ARABIC </w:instrText>
      </w:r>
      <w:r w:rsidR="00DD0C31" w:rsidRPr="00E527CD">
        <w:rPr>
          <w:b w:val="0"/>
        </w:rPr>
        <w:fldChar w:fldCharType="separate"/>
      </w:r>
      <w:r w:rsidR="00C510A7">
        <w:rPr>
          <w:b w:val="0"/>
          <w:noProof/>
        </w:rPr>
        <w:t>2</w:t>
      </w:r>
      <w:r w:rsidR="00DD0C31" w:rsidRPr="00E527CD">
        <w:rPr>
          <w:b w:val="0"/>
        </w:rPr>
        <w:fldChar w:fldCharType="end"/>
      </w:r>
      <w:bookmarkEnd w:id="6"/>
      <w:r w:rsidRPr="00E527CD">
        <w:rPr>
          <w:b w:val="0"/>
          <w:lang w:eastAsia="zh-CN"/>
        </w:rPr>
        <w:t xml:space="preserve"> </w:t>
      </w:r>
      <w:r w:rsidRPr="00E527CD">
        <w:rPr>
          <w:b w:val="0"/>
        </w:rPr>
        <w:t>Receiver design for 2-step RACH by using MA signatures</w:t>
      </w:r>
    </w:p>
    <w:p w:rsidR="005B2C75" w:rsidRPr="005B2C75" w:rsidRDefault="00B41FF3" w:rsidP="005B2C75">
      <w:pPr>
        <w:rPr>
          <w:b/>
        </w:rPr>
      </w:pPr>
      <w:r>
        <w:rPr>
          <w:rFonts w:ascii="Times New Roman" w:hAnsi="Times New Roman" w:hint="eastAsia"/>
          <w:b/>
          <w:i/>
          <w:sz w:val="20"/>
          <w:szCs w:val="20"/>
          <w:lang w:val="en-GB"/>
        </w:rPr>
        <w:t>Observation 4: The target SNR and cell radius supported by 2-RACH payload should be studied.</w:t>
      </w:r>
    </w:p>
    <w:p w:rsidR="00E527CD" w:rsidRPr="00E527CD" w:rsidRDefault="00E527CD" w:rsidP="00E527CD">
      <w:pPr>
        <w:pStyle w:val="Heading2"/>
      </w:pPr>
      <w:r w:rsidRPr="00E527CD">
        <w:t xml:space="preserve">Evaluation results </w:t>
      </w:r>
    </w:p>
    <w:p w:rsidR="000648E8" w:rsidRDefault="000648E8" w:rsidP="00327660">
      <w:pPr>
        <w:jc w:val="both"/>
        <w:rPr>
          <w:rFonts w:ascii="Times New Roman" w:hAnsi="Times New Roman"/>
          <w:sz w:val="20"/>
          <w:szCs w:val="20"/>
        </w:rPr>
      </w:pPr>
      <w:r>
        <w:rPr>
          <w:rFonts w:ascii="Times New Roman" w:hAnsi="Times New Roman" w:hint="eastAsia"/>
          <w:sz w:val="20"/>
          <w:szCs w:val="20"/>
        </w:rPr>
        <w:t>The performance</w:t>
      </w:r>
      <w:r w:rsidR="00F1326E">
        <w:rPr>
          <w:rFonts w:ascii="Times New Roman" w:hAnsi="Times New Roman" w:hint="eastAsia"/>
          <w:sz w:val="20"/>
          <w:szCs w:val="20"/>
        </w:rPr>
        <w:t>s</w:t>
      </w:r>
      <w:r>
        <w:rPr>
          <w:rFonts w:ascii="Times New Roman" w:hAnsi="Times New Roman" w:hint="eastAsia"/>
          <w:sz w:val="20"/>
          <w:szCs w:val="20"/>
        </w:rPr>
        <w:t xml:space="preserve"> of contention-based cases (i.e. multiple users shared the same RACH resources) </w:t>
      </w:r>
      <w:r w:rsidR="001237B3">
        <w:rPr>
          <w:rFonts w:ascii="Times New Roman" w:hAnsi="Times New Roman" w:hint="eastAsia"/>
          <w:sz w:val="20"/>
          <w:szCs w:val="20"/>
        </w:rPr>
        <w:t xml:space="preserve">of payload-only scheme and preamble plus payload with spreading scheme </w:t>
      </w:r>
      <w:r w:rsidR="00F1326E">
        <w:rPr>
          <w:rFonts w:ascii="Times New Roman" w:hAnsi="Times New Roman" w:hint="eastAsia"/>
          <w:sz w:val="20"/>
          <w:szCs w:val="20"/>
        </w:rPr>
        <w:t>have</w:t>
      </w:r>
      <w:r>
        <w:rPr>
          <w:rFonts w:ascii="Times New Roman" w:hAnsi="Times New Roman" w:hint="eastAsia"/>
          <w:sz w:val="20"/>
          <w:szCs w:val="20"/>
        </w:rPr>
        <w:t xml:space="preserve"> been </w:t>
      </w:r>
      <w:r>
        <w:rPr>
          <w:rFonts w:ascii="Times New Roman" w:hAnsi="Times New Roman"/>
          <w:sz w:val="20"/>
          <w:szCs w:val="20"/>
        </w:rPr>
        <w:t>illustrated</w:t>
      </w:r>
      <w:r>
        <w:rPr>
          <w:rFonts w:ascii="Times New Roman" w:hAnsi="Times New Roman" w:hint="eastAsia"/>
          <w:sz w:val="20"/>
          <w:szCs w:val="20"/>
        </w:rPr>
        <w:t xml:space="preserve"> in our previous contribution [</w:t>
      </w:r>
      <w:r w:rsidR="00953BD6">
        <w:rPr>
          <w:rFonts w:ascii="Times New Roman" w:hAnsi="Times New Roman" w:hint="eastAsia"/>
          <w:sz w:val="20"/>
          <w:szCs w:val="20"/>
        </w:rPr>
        <w:t>4</w:t>
      </w:r>
      <w:r>
        <w:rPr>
          <w:rFonts w:ascii="Times New Roman" w:hAnsi="Times New Roman" w:hint="eastAsia"/>
          <w:sz w:val="20"/>
          <w:szCs w:val="20"/>
        </w:rPr>
        <w:t>].</w:t>
      </w:r>
      <w:r w:rsidR="0036511F">
        <w:rPr>
          <w:rFonts w:ascii="Times New Roman" w:hAnsi="Times New Roman" w:hint="eastAsia"/>
          <w:sz w:val="20"/>
          <w:szCs w:val="20"/>
        </w:rPr>
        <w:t xml:space="preserve"> It was shown that, given the same target spectral efficiency, the payload-only scheme </w:t>
      </w:r>
      <w:r w:rsidR="0036511F">
        <w:rPr>
          <w:rFonts w:ascii="Times New Roman" w:hAnsi="Times New Roman"/>
          <w:sz w:val="20"/>
          <w:szCs w:val="20"/>
        </w:rPr>
        <w:t>outperforms</w:t>
      </w:r>
      <w:r w:rsidR="0036511F">
        <w:rPr>
          <w:rFonts w:ascii="Times New Roman" w:hAnsi="Times New Roman" w:hint="eastAsia"/>
          <w:sz w:val="20"/>
          <w:szCs w:val="20"/>
        </w:rPr>
        <w:t xml:space="preserve"> the preamble-based scheme</w:t>
      </w:r>
      <w:r w:rsidR="005D316E">
        <w:rPr>
          <w:rFonts w:ascii="Times New Roman" w:hAnsi="Times New Roman" w:hint="eastAsia"/>
          <w:sz w:val="20"/>
          <w:szCs w:val="20"/>
        </w:rPr>
        <w:t xml:space="preserve"> </w:t>
      </w:r>
      <w:r w:rsidR="001A37DA">
        <w:rPr>
          <w:rFonts w:ascii="Times New Roman" w:hAnsi="Times New Roman" w:hint="eastAsia"/>
          <w:sz w:val="20"/>
          <w:szCs w:val="20"/>
        </w:rPr>
        <w:t xml:space="preserve">on the BLER </w:t>
      </w:r>
      <w:r w:rsidR="00CE3987">
        <w:rPr>
          <w:rFonts w:ascii="Times New Roman" w:hAnsi="Times New Roman" w:hint="eastAsia"/>
          <w:sz w:val="20"/>
          <w:szCs w:val="20"/>
        </w:rPr>
        <w:t xml:space="preserve">metric </w:t>
      </w:r>
      <w:r w:rsidR="0036511F">
        <w:rPr>
          <w:rFonts w:ascii="Times New Roman" w:hAnsi="Times New Roman" w:hint="eastAsia"/>
          <w:sz w:val="20"/>
          <w:szCs w:val="20"/>
        </w:rPr>
        <w:t>due to the capability of collision resolution.</w:t>
      </w:r>
      <w:r w:rsidR="00CC1CC8">
        <w:rPr>
          <w:rFonts w:ascii="Times New Roman" w:hAnsi="Times New Roman" w:hint="eastAsia"/>
          <w:sz w:val="20"/>
          <w:szCs w:val="20"/>
        </w:rPr>
        <w:t xml:space="preserve"> In this contribution, we further provide some detailed performance evaluation </w:t>
      </w:r>
      <w:r w:rsidR="00F1326E">
        <w:rPr>
          <w:rFonts w:ascii="Times New Roman" w:hAnsi="Times New Roman" w:hint="eastAsia"/>
          <w:sz w:val="20"/>
          <w:szCs w:val="20"/>
        </w:rPr>
        <w:t>for single-use cases</w:t>
      </w:r>
      <w:r w:rsidR="00CC1CC8">
        <w:rPr>
          <w:rFonts w:ascii="Times New Roman" w:hAnsi="Times New Roman" w:hint="eastAsia"/>
          <w:sz w:val="20"/>
          <w:szCs w:val="20"/>
        </w:rPr>
        <w:t xml:space="preserve"> in terms of BLER and TA detection probability.</w:t>
      </w:r>
    </w:p>
    <w:p w:rsidR="00A8228F" w:rsidRDefault="00E74771" w:rsidP="00327660">
      <w:pPr>
        <w:jc w:val="both"/>
        <w:rPr>
          <w:rFonts w:ascii="Times New Roman" w:hAnsi="Times New Roman"/>
          <w:sz w:val="20"/>
          <w:szCs w:val="20"/>
        </w:rPr>
      </w:pPr>
      <w:r>
        <w:rPr>
          <w:rFonts w:ascii="Times New Roman" w:hAnsi="Times New Roman" w:hint="eastAsia"/>
          <w:sz w:val="20"/>
          <w:szCs w:val="20"/>
        </w:rPr>
        <w:t xml:space="preserve">The comparison of BLER curves at different SNR level is shown in </w:t>
      </w:r>
      <w:fldSimple w:instr=" REF _Ref474156499 \h  \* MERGEFORMAT ">
        <w:r w:rsidR="005B2C75" w:rsidRPr="005B2C75">
          <w:rPr>
            <w:rFonts w:ascii="Times New Roman" w:hAnsi="Times New Roman"/>
            <w:sz w:val="20"/>
            <w:szCs w:val="20"/>
          </w:rPr>
          <w:t>Figure 3</w:t>
        </w:r>
      </w:fldSimple>
      <w:r w:rsidR="00A70AAD">
        <w:rPr>
          <w:rFonts w:ascii="Times New Roman" w:hAnsi="Times New Roman" w:hint="eastAsia"/>
          <w:sz w:val="20"/>
          <w:szCs w:val="20"/>
        </w:rPr>
        <w:t xml:space="preserve">, and the TA detection probability is represented in </w:t>
      </w:r>
      <w:fldSimple w:instr=" REF _Ref474156562 \h  \* MERGEFORMAT ">
        <w:r w:rsidR="005B2C75" w:rsidRPr="005B2C75">
          <w:rPr>
            <w:rFonts w:ascii="Times New Roman" w:hAnsi="Times New Roman"/>
            <w:sz w:val="20"/>
            <w:szCs w:val="20"/>
          </w:rPr>
          <w:t>Table 1</w:t>
        </w:r>
      </w:fldSimple>
      <w:r w:rsidR="00A70AAD">
        <w:rPr>
          <w:rFonts w:ascii="Times New Roman" w:hAnsi="Times New Roman" w:hint="eastAsia"/>
          <w:sz w:val="20"/>
          <w:szCs w:val="20"/>
        </w:rPr>
        <w:t xml:space="preserve">. </w:t>
      </w:r>
      <w:r w:rsidR="0094519C">
        <w:rPr>
          <w:rFonts w:ascii="Times New Roman" w:hAnsi="Times New Roman" w:hint="eastAsia"/>
          <w:sz w:val="20"/>
          <w:szCs w:val="20"/>
        </w:rPr>
        <w:t>For the single-user case, there is no collision issue</w:t>
      </w:r>
      <w:r w:rsidR="004A4210">
        <w:rPr>
          <w:rFonts w:ascii="Times New Roman" w:hAnsi="Times New Roman" w:hint="eastAsia"/>
          <w:sz w:val="20"/>
          <w:szCs w:val="20"/>
        </w:rPr>
        <w:t xml:space="preserve"> or inter-user interference</w:t>
      </w:r>
      <w:r w:rsidR="0094519C">
        <w:rPr>
          <w:rFonts w:ascii="Times New Roman" w:hAnsi="Times New Roman" w:hint="eastAsia"/>
          <w:sz w:val="20"/>
          <w:szCs w:val="20"/>
        </w:rPr>
        <w:t xml:space="preserve">. </w:t>
      </w:r>
      <w:r w:rsidR="00A8228F">
        <w:rPr>
          <w:rFonts w:ascii="Times New Roman" w:hAnsi="Times New Roman" w:hint="eastAsia"/>
          <w:sz w:val="20"/>
          <w:szCs w:val="20"/>
        </w:rPr>
        <w:t xml:space="preserve">When there is no time offset, the payload-only scheme achieves better performance than preamble-based scheme due to lower modulation order employed. However, when there is time offset, the payload-only scheme is inferior to preamble-based scheme because time offset leads to phase linearly increase in frequency domain, which degrades the blind detection performance of payload-only scheme. </w:t>
      </w:r>
      <w:r w:rsidR="00B57B69">
        <w:rPr>
          <w:rFonts w:ascii="Times New Roman" w:hAnsi="Times New Roman" w:hint="eastAsia"/>
          <w:sz w:val="20"/>
          <w:szCs w:val="20"/>
        </w:rPr>
        <w:t>And t</w:t>
      </w:r>
      <w:r w:rsidR="00A8228F">
        <w:rPr>
          <w:rFonts w:ascii="Times New Roman" w:hAnsi="Times New Roman" w:hint="eastAsia"/>
          <w:sz w:val="20"/>
          <w:szCs w:val="20"/>
        </w:rPr>
        <w:t>he larger the maximum time offset, the worse the performance.</w:t>
      </w:r>
      <w:r w:rsidR="008F7EB0">
        <w:rPr>
          <w:rFonts w:ascii="Times New Roman" w:hAnsi="Times New Roman" w:hint="eastAsia"/>
          <w:sz w:val="20"/>
          <w:szCs w:val="20"/>
        </w:rPr>
        <w:t xml:space="preserve"> Because there is relationship </w:t>
      </w:r>
      <w:r w:rsidR="008F7EB0">
        <w:rPr>
          <w:rFonts w:ascii="Times New Roman" w:hAnsi="Times New Roman"/>
          <w:sz w:val="20"/>
          <w:szCs w:val="20"/>
        </w:rPr>
        <w:t>between</w:t>
      </w:r>
      <w:r w:rsidR="008F7EB0">
        <w:rPr>
          <w:rFonts w:ascii="Times New Roman" w:hAnsi="Times New Roman" w:hint="eastAsia"/>
          <w:sz w:val="20"/>
          <w:szCs w:val="20"/>
        </w:rPr>
        <w:t xml:space="preserve"> cell radius and time offset, there is large impact of cell radius on the performance of payload-only scheme. It is </w:t>
      </w:r>
      <w:r w:rsidR="008F7EB0">
        <w:rPr>
          <w:rFonts w:ascii="Times New Roman" w:hAnsi="Times New Roman"/>
          <w:sz w:val="20"/>
          <w:szCs w:val="20"/>
        </w:rPr>
        <w:t>important</w:t>
      </w:r>
      <w:r w:rsidR="008F7EB0">
        <w:rPr>
          <w:rFonts w:ascii="Times New Roman" w:hAnsi="Times New Roman" w:hint="eastAsia"/>
          <w:sz w:val="20"/>
          <w:szCs w:val="20"/>
        </w:rPr>
        <w:t xml:space="preserve"> to appropriate choose the application scenario of payload-only scheme, such as large cell radius </w:t>
      </w:r>
      <w:r w:rsidR="00AB0D5A">
        <w:rPr>
          <w:rFonts w:ascii="Times New Roman" w:hAnsi="Times New Roman" w:hint="eastAsia"/>
          <w:sz w:val="20"/>
          <w:szCs w:val="20"/>
        </w:rPr>
        <w:t xml:space="preserve">scenario </w:t>
      </w:r>
      <w:r w:rsidR="008F7EB0">
        <w:rPr>
          <w:rFonts w:ascii="Times New Roman" w:hAnsi="Times New Roman" w:hint="eastAsia"/>
          <w:sz w:val="20"/>
          <w:szCs w:val="20"/>
        </w:rPr>
        <w:t>or small cell radius</w:t>
      </w:r>
      <w:r w:rsidR="00AB0D5A">
        <w:rPr>
          <w:rFonts w:ascii="Times New Roman" w:hAnsi="Times New Roman" w:hint="eastAsia"/>
          <w:sz w:val="20"/>
          <w:szCs w:val="20"/>
        </w:rPr>
        <w:t xml:space="preserve"> scenario</w:t>
      </w:r>
      <w:r w:rsidR="008F7EB0">
        <w:rPr>
          <w:rFonts w:ascii="Times New Roman" w:hAnsi="Times New Roman" w:hint="eastAsia"/>
          <w:sz w:val="20"/>
          <w:szCs w:val="20"/>
        </w:rPr>
        <w:t>.</w:t>
      </w:r>
    </w:p>
    <w:p w:rsidR="00B57B69" w:rsidRDefault="00B57B69" w:rsidP="00327660">
      <w:pPr>
        <w:jc w:val="both"/>
        <w:rPr>
          <w:rFonts w:ascii="Times New Roman" w:hAnsi="Times New Roman"/>
          <w:sz w:val="20"/>
          <w:szCs w:val="20"/>
        </w:rPr>
      </w:pPr>
      <w:r>
        <w:rPr>
          <w:rFonts w:ascii="Times New Roman" w:hAnsi="Times New Roman" w:hint="eastAsia"/>
          <w:sz w:val="20"/>
          <w:szCs w:val="20"/>
        </w:rPr>
        <w:t xml:space="preserve">In Table 1 the TA </w:t>
      </w:r>
      <w:r w:rsidR="00DD0C31" w:rsidRPr="00DD0C31">
        <w:rPr>
          <w:rFonts w:ascii="Times New Roman" w:hAnsi="Times New Roman"/>
          <w:sz w:val="20"/>
          <w:szCs w:val="20"/>
        </w:rPr>
        <w:t xml:space="preserve">detection probability as a function of </w:t>
      </w:r>
      <w:r w:rsidR="00E426E9">
        <w:rPr>
          <w:rFonts w:ascii="Times New Roman" w:hAnsi="Times New Roman" w:hint="eastAsia"/>
          <w:sz w:val="20"/>
          <w:szCs w:val="20"/>
        </w:rPr>
        <w:t>SNR</w:t>
      </w:r>
      <w:r w:rsidR="00DD0C31" w:rsidRPr="00DD0C31">
        <w:rPr>
          <w:rFonts w:ascii="Times New Roman" w:hAnsi="Times New Roman"/>
          <w:sz w:val="20"/>
          <w:szCs w:val="20"/>
        </w:rPr>
        <w:t xml:space="preserve"> for payload-only and preamble plus payload schemes </w:t>
      </w:r>
      <w:r w:rsidR="00E426E9">
        <w:rPr>
          <w:rFonts w:ascii="Times New Roman" w:hAnsi="Times New Roman" w:hint="eastAsia"/>
          <w:sz w:val="20"/>
          <w:szCs w:val="20"/>
        </w:rPr>
        <w:t>is</w:t>
      </w:r>
      <w:r w:rsidR="00DD0C31" w:rsidRPr="00DD0C31">
        <w:rPr>
          <w:rFonts w:ascii="Times New Roman" w:hAnsi="Times New Roman"/>
          <w:sz w:val="20"/>
          <w:szCs w:val="20"/>
        </w:rPr>
        <w:t xml:space="preserve"> shown.</w:t>
      </w:r>
      <w:r>
        <w:rPr>
          <w:rFonts w:ascii="Times New Roman" w:hAnsi="Times New Roman" w:hint="eastAsia"/>
          <w:sz w:val="20"/>
          <w:szCs w:val="20"/>
        </w:rPr>
        <w:t xml:space="preserve"> It is observed that when SNR is larger than 4 dB, the TA </w:t>
      </w:r>
      <w:r w:rsidRPr="00B57B69">
        <w:rPr>
          <w:rFonts w:ascii="Times New Roman" w:hAnsi="Times New Roman"/>
          <w:sz w:val="20"/>
          <w:szCs w:val="20"/>
        </w:rPr>
        <w:t>detection probability</w:t>
      </w:r>
      <w:r>
        <w:rPr>
          <w:rFonts w:ascii="Times New Roman" w:hAnsi="Times New Roman" w:hint="eastAsia"/>
          <w:sz w:val="20"/>
          <w:szCs w:val="20"/>
        </w:rPr>
        <w:t xml:space="preserve"> is larger than 90% for </w:t>
      </w:r>
      <w:r w:rsidRPr="00B57B69">
        <w:rPr>
          <w:rFonts w:ascii="Times New Roman" w:hAnsi="Times New Roman"/>
          <w:sz w:val="20"/>
          <w:szCs w:val="20"/>
        </w:rPr>
        <w:t>payload-only</w:t>
      </w:r>
      <w:r>
        <w:rPr>
          <w:rFonts w:ascii="Times New Roman" w:hAnsi="Times New Roman" w:hint="eastAsia"/>
          <w:sz w:val="20"/>
          <w:szCs w:val="20"/>
        </w:rPr>
        <w:t xml:space="preserve"> scheme in the case of time offset within [0, 5.2us], while the required SNR is more than 6 dB for </w:t>
      </w:r>
      <w:r w:rsidRPr="00B57B69">
        <w:rPr>
          <w:rFonts w:ascii="Times New Roman" w:hAnsi="Times New Roman"/>
          <w:sz w:val="20"/>
          <w:szCs w:val="20"/>
        </w:rPr>
        <w:t>payload-only</w:t>
      </w:r>
      <w:r>
        <w:rPr>
          <w:rFonts w:ascii="Times New Roman" w:hAnsi="Times New Roman" w:hint="eastAsia"/>
          <w:sz w:val="20"/>
          <w:szCs w:val="20"/>
        </w:rPr>
        <w:t xml:space="preserve"> scheme in the case of time offset within [0, 50us].</w:t>
      </w:r>
      <w:r w:rsidR="00A03EF7">
        <w:rPr>
          <w:rFonts w:ascii="Times New Roman" w:hAnsi="Times New Roman" w:hint="eastAsia"/>
          <w:sz w:val="20"/>
          <w:szCs w:val="20"/>
        </w:rPr>
        <w:t xml:space="preserve"> Although the BLER performance of </w:t>
      </w:r>
      <w:r w:rsidR="00A03EF7" w:rsidRPr="00B57B69">
        <w:rPr>
          <w:rFonts w:ascii="Times New Roman" w:hAnsi="Times New Roman"/>
          <w:sz w:val="20"/>
          <w:szCs w:val="20"/>
        </w:rPr>
        <w:t>payload-only</w:t>
      </w:r>
      <w:r w:rsidR="00A03EF7">
        <w:rPr>
          <w:rFonts w:ascii="Times New Roman" w:hAnsi="Times New Roman" w:hint="eastAsia"/>
          <w:sz w:val="20"/>
          <w:szCs w:val="20"/>
        </w:rPr>
        <w:t xml:space="preserve"> scheme without time offset is better than that of </w:t>
      </w:r>
      <w:r w:rsidR="00A03EF7" w:rsidRPr="00B57B69">
        <w:rPr>
          <w:rFonts w:ascii="Times New Roman" w:hAnsi="Times New Roman"/>
          <w:sz w:val="20"/>
          <w:szCs w:val="20"/>
        </w:rPr>
        <w:t>preamble plus payload</w:t>
      </w:r>
      <w:r w:rsidR="00A03EF7" w:rsidRPr="00B57B69">
        <w:rPr>
          <w:rFonts w:ascii="Times New Roman" w:hAnsi="Times New Roman" w:hint="eastAsia"/>
          <w:sz w:val="20"/>
          <w:szCs w:val="20"/>
        </w:rPr>
        <w:t xml:space="preserve"> scheme</w:t>
      </w:r>
      <w:r w:rsidR="00A03EF7">
        <w:rPr>
          <w:rFonts w:ascii="Times New Roman" w:hAnsi="Times New Roman" w:hint="eastAsia"/>
          <w:sz w:val="20"/>
          <w:szCs w:val="20"/>
        </w:rPr>
        <w:t xml:space="preserve">, the TA </w:t>
      </w:r>
      <w:r w:rsidR="00A03EF7" w:rsidRPr="00B57B69">
        <w:rPr>
          <w:rFonts w:ascii="Times New Roman" w:hAnsi="Times New Roman"/>
          <w:sz w:val="20"/>
          <w:szCs w:val="20"/>
        </w:rPr>
        <w:t>detection probability</w:t>
      </w:r>
      <w:r w:rsidR="00A03EF7">
        <w:rPr>
          <w:rFonts w:ascii="Times New Roman" w:hAnsi="Times New Roman" w:hint="eastAsia"/>
          <w:sz w:val="20"/>
          <w:szCs w:val="20"/>
        </w:rPr>
        <w:t xml:space="preserve"> of the former is worse than the later. The reason is that TA is estimated after the data is successfully </w:t>
      </w:r>
      <w:r w:rsidR="00A03EF7">
        <w:rPr>
          <w:rFonts w:ascii="Times New Roman" w:hAnsi="Times New Roman"/>
          <w:sz w:val="20"/>
          <w:szCs w:val="20"/>
        </w:rPr>
        <w:t>decoded</w:t>
      </w:r>
      <w:r w:rsidR="00A03EF7">
        <w:rPr>
          <w:rFonts w:ascii="Times New Roman" w:hAnsi="Times New Roman" w:hint="eastAsia"/>
          <w:sz w:val="20"/>
          <w:szCs w:val="20"/>
        </w:rPr>
        <w:t xml:space="preserve"> for </w:t>
      </w:r>
      <w:r w:rsidR="00A03EF7" w:rsidRPr="00B57B69">
        <w:rPr>
          <w:rFonts w:ascii="Times New Roman" w:hAnsi="Times New Roman"/>
          <w:sz w:val="20"/>
          <w:szCs w:val="20"/>
        </w:rPr>
        <w:t>payload-only</w:t>
      </w:r>
      <w:r w:rsidR="00A03EF7">
        <w:rPr>
          <w:rFonts w:ascii="Times New Roman" w:hAnsi="Times New Roman" w:hint="eastAsia"/>
          <w:sz w:val="20"/>
          <w:szCs w:val="20"/>
        </w:rPr>
        <w:t xml:space="preserve"> scheme. While for </w:t>
      </w:r>
      <w:r w:rsidR="00A03EF7" w:rsidRPr="00B57B69">
        <w:rPr>
          <w:rFonts w:ascii="Times New Roman" w:hAnsi="Times New Roman"/>
          <w:sz w:val="20"/>
          <w:szCs w:val="20"/>
        </w:rPr>
        <w:t>preamble plus payload</w:t>
      </w:r>
      <w:r w:rsidR="00A03EF7" w:rsidRPr="00B57B69">
        <w:rPr>
          <w:rFonts w:ascii="Times New Roman" w:hAnsi="Times New Roman" w:hint="eastAsia"/>
          <w:sz w:val="20"/>
          <w:szCs w:val="20"/>
        </w:rPr>
        <w:t xml:space="preserve"> scheme</w:t>
      </w:r>
      <w:r w:rsidR="00A03EF7">
        <w:rPr>
          <w:rFonts w:ascii="Times New Roman" w:hAnsi="Times New Roman" w:hint="eastAsia"/>
          <w:sz w:val="20"/>
          <w:szCs w:val="20"/>
        </w:rPr>
        <w:t xml:space="preserve">, the TA </w:t>
      </w:r>
      <w:r w:rsidR="00E9462D">
        <w:rPr>
          <w:rFonts w:ascii="Times New Roman" w:hAnsi="Times New Roman" w:hint="eastAsia"/>
          <w:sz w:val="20"/>
          <w:szCs w:val="20"/>
        </w:rPr>
        <w:t xml:space="preserve">estimation is performed using preamble </w:t>
      </w:r>
      <w:r w:rsidR="00A03EF7">
        <w:rPr>
          <w:rFonts w:ascii="Times New Roman" w:hAnsi="Times New Roman" w:hint="eastAsia"/>
          <w:sz w:val="20"/>
          <w:szCs w:val="20"/>
        </w:rPr>
        <w:t>before the data decoding.</w:t>
      </w:r>
    </w:p>
    <w:p w:rsidR="005B2C75" w:rsidRDefault="006052C0" w:rsidP="0048687C">
      <w:pPr>
        <w:jc w:val="center"/>
      </w:pPr>
      <w:r>
        <w:rPr>
          <w:rFonts w:ascii="Times New Roman" w:hAnsi="Times New Roman"/>
          <w:noProof/>
          <w:sz w:val="20"/>
          <w:szCs w:val="20"/>
        </w:rPr>
        <w:lastRenderedPageBreak/>
        <w:drawing>
          <wp:inline distT="0" distB="0" distL="0" distR="0">
            <wp:extent cx="4741252" cy="3556609"/>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741252" cy="3556609"/>
                    </a:xfrm>
                    <a:prstGeom prst="rect">
                      <a:avLst/>
                    </a:prstGeom>
                    <a:noFill/>
                    <a:ln w="9525">
                      <a:noFill/>
                      <a:miter lim="800000"/>
                      <a:headEnd/>
                      <a:tailEnd/>
                    </a:ln>
                  </pic:spPr>
                </pic:pic>
              </a:graphicData>
            </a:graphic>
          </wp:inline>
        </w:drawing>
      </w:r>
    </w:p>
    <w:p w:rsidR="005B2C75" w:rsidRDefault="005B2C75" w:rsidP="005B2C75">
      <w:pPr>
        <w:pStyle w:val="Caption"/>
        <w:jc w:val="center"/>
      </w:pPr>
      <w:bookmarkStart w:id="7" w:name="_Ref474156499"/>
      <w:r w:rsidRPr="005B2C75">
        <w:rPr>
          <w:b w:val="0"/>
        </w:rPr>
        <w:t xml:space="preserve">Figure </w:t>
      </w:r>
      <w:r w:rsidR="00DD0C31" w:rsidRPr="005B2C75">
        <w:rPr>
          <w:b w:val="0"/>
        </w:rPr>
        <w:fldChar w:fldCharType="begin"/>
      </w:r>
      <w:r w:rsidRPr="005B2C75">
        <w:rPr>
          <w:b w:val="0"/>
        </w:rPr>
        <w:instrText xml:space="preserve"> SEQ Figure \* ARABIC </w:instrText>
      </w:r>
      <w:r w:rsidR="00DD0C31" w:rsidRPr="005B2C75">
        <w:rPr>
          <w:b w:val="0"/>
        </w:rPr>
        <w:fldChar w:fldCharType="separate"/>
      </w:r>
      <w:r w:rsidRPr="005B2C75">
        <w:rPr>
          <w:b w:val="0"/>
          <w:noProof/>
        </w:rPr>
        <w:t>3</w:t>
      </w:r>
      <w:r w:rsidR="00DD0C31" w:rsidRPr="005B2C75">
        <w:rPr>
          <w:b w:val="0"/>
        </w:rPr>
        <w:fldChar w:fldCharType="end"/>
      </w:r>
      <w:bookmarkEnd w:id="7"/>
      <w:r w:rsidRPr="005B2C75">
        <w:rPr>
          <w:b w:val="0"/>
          <w:lang w:eastAsia="zh-CN"/>
        </w:rPr>
        <w:t xml:space="preserve"> </w:t>
      </w:r>
      <w:r w:rsidR="000648E8">
        <w:rPr>
          <w:rFonts w:hint="eastAsia"/>
          <w:b w:val="0"/>
          <w:lang w:eastAsia="zh-CN"/>
        </w:rPr>
        <w:t>Single-</w:t>
      </w:r>
      <w:r w:rsidRPr="005B2C75">
        <w:rPr>
          <w:b w:val="0"/>
          <w:lang w:eastAsia="zh-CN"/>
        </w:rPr>
        <w:t>user performance comparison between payload-only and preamble plus payload solutions</w:t>
      </w:r>
    </w:p>
    <w:p w:rsidR="005B2C75" w:rsidRDefault="005B2C75" w:rsidP="005B2C75">
      <w:pPr>
        <w:pStyle w:val="Caption"/>
        <w:keepNext/>
        <w:jc w:val="center"/>
      </w:pPr>
      <w:bookmarkStart w:id="8" w:name="_Ref474156562"/>
      <w:r w:rsidRPr="005B2C75">
        <w:rPr>
          <w:b w:val="0"/>
        </w:rPr>
        <w:t xml:space="preserve">Table </w:t>
      </w:r>
      <w:r w:rsidR="00DD0C31" w:rsidRPr="005B2C75">
        <w:rPr>
          <w:b w:val="0"/>
        </w:rPr>
        <w:fldChar w:fldCharType="begin"/>
      </w:r>
      <w:r w:rsidRPr="005B2C75">
        <w:rPr>
          <w:b w:val="0"/>
        </w:rPr>
        <w:instrText xml:space="preserve"> SEQ Table \* ARABIC </w:instrText>
      </w:r>
      <w:r w:rsidR="00DD0C31" w:rsidRPr="005B2C75">
        <w:rPr>
          <w:b w:val="0"/>
        </w:rPr>
        <w:fldChar w:fldCharType="separate"/>
      </w:r>
      <w:r w:rsidRPr="005B2C75">
        <w:rPr>
          <w:b w:val="0"/>
          <w:noProof/>
        </w:rPr>
        <w:t>1</w:t>
      </w:r>
      <w:r w:rsidR="00DD0C31" w:rsidRPr="005B2C75">
        <w:rPr>
          <w:b w:val="0"/>
        </w:rPr>
        <w:fldChar w:fldCharType="end"/>
      </w:r>
      <w:bookmarkEnd w:id="8"/>
      <w:r w:rsidRPr="005B2C75">
        <w:rPr>
          <w:b w:val="0"/>
          <w:lang w:eastAsia="zh-CN"/>
        </w:rPr>
        <w:t xml:space="preserve"> </w:t>
      </w:r>
      <w:r w:rsidRPr="005B2C75">
        <w:rPr>
          <w:b w:val="0"/>
        </w:rPr>
        <w:t xml:space="preserve">TA detection probability as a function of </w:t>
      </w:r>
      <w:r w:rsidR="00BB5825">
        <w:rPr>
          <w:rFonts w:hint="eastAsia"/>
          <w:b w:val="0"/>
          <w:lang w:eastAsia="zh-CN"/>
        </w:rPr>
        <w:t>SNR</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3"/>
        <w:gridCol w:w="2087"/>
        <w:gridCol w:w="2077"/>
        <w:gridCol w:w="2063"/>
        <w:gridCol w:w="2160"/>
      </w:tblGrid>
      <w:tr w:rsidR="00301D91" w:rsidRPr="00716ED5" w:rsidTr="006203A4">
        <w:tc>
          <w:tcPr>
            <w:tcW w:w="973" w:type="dxa"/>
          </w:tcPr>
          <w:p w:rsidR="00301D91" w:rsidRDefault="00301D91">
            <w:pPr>
              <w:spacing w:before="60" w:after="60" w:line="240" w:lineRule="auto"/>
              <w:jc w:val="both"/>
              <w:rPr>
                <w:rFonts w:ascii="Times New Roman" w:eastAsia="SimHei" w:hAnsi="Times New Roman"/>
                <w:b/>
                <w:bCs/>
                <w:sz w:val="20"/>
                <w:szCs w:val="20"/>
              </w:rPr>
            </w:pPr>
            <w:r>
              <w:rPr>
                <w:rFonts w:ascii="Times New Roman" w:hAnsi="Times New Roman" w:hint="eastAsia"/>
                <w:sz w:val="20"/>
                <w:szCs w:val="20"/>
              </w:rPr>
              <w:t>SNR(dB)</w:t>
            </w:r>
          </w:p>
        </w:tc>
        <w:tc>
          <w:tcPr>
            <w:tcW w:w="2087" w:type="dxa"/>
          </w:tcPr>
          <w:p w:rsidR="00301D91" w:rsidRDefault="00301D91">
            <w:pPr>
              <w:spacing w:before="60" w:after="60" w:line="240" w:lineRule="auto"/>
              <w:jc w:val="both"/>
              <w:rPr>
                <w:rFonts w:ascii="Times New Roman" w:eastAsia="SimHei" w:hAnsi="Times New Roman"/>
                <w:b/>
                <w:bCs/>
                <w:sz w:val="20"/>
                <w:szCs w:val="20"/>
              </w:rPr>
            </w:pPr>
            <w:r>
              <w:rPr>
                <w:rFonts w:ascii="Times New Roman" w:hAnsi="Times New Roman" w:hint="eastAsia"/>
                <w:sz w:val="20"/>
                <w:szCs w:val="20"/>
              </w:rPr>
              <w:t xml:space="preserve">TA detection probability of </w:t>
            </w:r>
            <w:r w:rsidRPr="005B2C75">
              <w:rPr>
                <w:rFonts w:ascii="Times New Roman" w:hAnsi="Times New Roman"/>
                <w:sz w:val="20"/>
                <w:szCs w:val="20"/>
              </w:rPr>
              <w:t>payload</w:t>
            </w:r>
            <w:r>
              <w:rPr>
                <w:rFonts w:ascii="Times New Roman" w:hAnsi="Times New Roman" w:hint="eastAsia"/>
                <w:sz w:val="20"/>
                <w:szCs w:val="20"/>
              </w:rPr>
              <w:t>-only solution, no time offset  case</w:t>
            </w:r>
            <w:r w:rsidRPr="00716ED5">
              <w:rPr>
                <w:rFonts w:ascii="Times New Roman" w:hAnsi="Times New Roman" w:hint="eastAsia"/>
                <w:sz w:val="20"/>
                <w:szCs w:val="20"/>
              </w:rPr>
              <w:t>(</w:t>
            </w:r>
            <w:r>
              <w:rPr>
                <w:rFonts w:ascii="Times New Roman" w:hAnsi="Times New Roman"/>
                <w:sz w:val="20"/>
                <w:szCs w:val="20"/>
              </w:rPr>
              <w:t>Estimation a</w:t>
            </w:r>
            <w:r w:rsidRPr="00716ED5">
              <w:rPr>
                <w:rFonts w:ascii="Times New Roman" w:hAnsi="Times New Roman" w:hint="eastAsia"/>
                <w:sz w:val="20"/>
                <w:szCs w:val="20"/>
              </w:rPr>
              <w:t xml:space="preserve">ccuracy of TA is </w:t>
            </w:r>
            <w:r>
              <w:rPr>
                <w:rFonts w:ascii="Times New Roman" w:hAnsi="Times New Roman"/>
                <w:sz w:val="20"/>
                <w:szCs w:val="20"/>
              </w:rPr>
              <w:t xml:space="preserve">with +/- </w:t>
            </w:r>
            <w:r w:rsidRPr="00716ED5">
              <w:rPr>
                <w:rFonts w:ascii="Times New Roman" w:hAnsi="Times New Roman" w:hint="eastAsia"/>
                <w:sz w:val="20"/>
                <w:szCs w:val="20"/>
              </w:rPr>
              <w:t>1 us)</w:t>
            </w:r>
          </w:p>
        </w:tc>
        <w:tc>
          <w:tcPr>
            <w:tcW w:w="2077" w:type="dxa"/>
          </w:tcPr>
          <w:p w:rsidR="00301D91" w:rsidRDefault="00301D91" w:rsidP="00301D91">
            <w:pPr>
              <w:spacing w:before="60" w:after="60" w:line="240" w:lineRule="auto"/>
              <w:jc w:val="both"/>
              <w:rPr>
                <w:rFonts w:ascii="Times New Roman" w:hAnsi="Times New Roman"/>
                <w:sz w:val="20"/>
                <w:szCs w:val="20"/>
              </w:rPr>
            </w:pPr>
            <w:r>
              <w:rPr>
                <w:rFonts w:ascii="Times New Roman" w:hAnsi="Times New Roman" w:hint="eastAsia"/>
                <w:sz w:val="20"/>
                <w:szCs w:val="20"/>
              </w:rPr>
              <w:t xml:space="preserve">TA detection probability of </w:t>
            </w:r>
            <w:r w:rsidRPr="005B2C75">
              <w:rPr>
                <w:rFonts w:ascii="Times New Roman" w:hAnsi="Times New Roman"/>
                <w:sz w:val="20"/>
                <w:szCs w:val="20"/>
              </w:rPr>
              <w:t>payload</w:t>
            </w:r>
            <w:r>
              <w:rPr>
                <w:rFonts w:ascii="Times New Roman" w:hAnsi="Times New Roman" w:hint="eastAsia"/>
                <w:sz w:val="20"/>
                <w:szCs w:val="20"/>
              </w:rPr>
              <w:t xml:space="preserve">-only solution, [0, 5.2us] case </w:t>
            </w:r>
            <w:r w:rsidRPr="00716ED5">
              <w:rPr>
                <w:rFonts w:ascii="Times New Roman" w:hAnsi="Times New Roman" w:hint="eastAsia"/>
                <w:sz w:val="20"/>
                <w:szCs w:val="20"/>
              </w:rPr>
              <w:t>(</w:t>
            </w:r>
            <w:r>
              <w:rPr>
                <w:rFonts w:ascii="Times New Roman" w:hAnsi="Times New Roman"/>
                <w:sz w:val="20"/>
                <w:szCs w:val="20"/>
              </w:rPr>
              <w:t>Estimation a</w:t>
            </w:r>
            <w:r w:rsidRPr="00716ED5">
              <w:rPr>
                <w:rFonts w:ascii="Times New Roman" w:hAnsi="Times New Roman" w:hint="eastAsia"/>
                <w:sz w:val="20"/>
                <w:szCs w:val="20"/>
              </w:rPr>
              <w:t xml:space="preserve">ccuracy of TA is </w:t>
            </w:r>
            <w:r>
              <w:rPr>
                <w:rFonts w:ascii="Times New Roman" w:hAnsi="Times New Roman"/>
                <w:sz w:val="20"/>
                <w:szCs w:val="20"/>
              </w:rPr>
              <w:t xml:space="preserve">with +/- </w:t>
            </w:r>
            <w:r w:rsidRPr="00716ED5">
              <w:rPr>
                <w:rFonts w:ascii="Times New Roman" w:hAnsi="Times New Roman" w:hint="eastAsia"/>
                <w:sz w:val="20"/>
                <w:szCs w:val="20"/>
              </w:rPr>
              <w:t>1 us)</w:t>
            </w:r>
          </w:p>
        </w:tc>
        <w:tc>
          <w:tcPr>
            <w:tcW w:w="2063" w:type="dxa"/>
          </w:tcPr>
          <w:p w:rsidR="00E16723" w:rsidRDefault="00301D91">
            <w:pPr>
              <w:spacing w:before="60" w:after="60" w:line="240" w:lineRule="auto"/>
              <w:jc w:val="both"/>
              <w:rPr>
                <w:rFonts w:ascii="Times New Roman" w:hAnsi="Times New Roman"/>
                <w:sz w:val="20"/>
                <w:szCs w:val="20"/>
              </w:rPr>
            </w:pPr>
            <w:r>
              <w:rPr>
                <w:rFonts w:ascii="Times New Roman" w:hAnsi="Times New Roman" w:hint="eastAsia"/>
                <w:sz w:val="20"/>
                <w:szCs w:val="20"/>
              </w:rPr>
              <w:t xml:space="preserve">TA detection probability of </w:t>
            </w:r>
            <w:r w:rsidRPr="005B2C75">
              <w:rPr>
                <w:rFonts w:ascii="Times New Roman" w:hAnsi="Times New Roman"/>
                <w:sz w:val="20"/>
                <w:szCs w:val="20"/>
              </w:rPr>
              <w:t>payload</w:t>
            </w:r>
            <w:r>
              <w:rPr>
                <w:rFonts w:ascii="Times New Roman" w:hAnsi="Times New Roman" w:hint="eastAsia"/>
                <w:sz w:val="20"/>
                <w:szCs w:val="20"/>
              </w:rPr>
              <w:t xml:space="preserve">-only solution, [0, 50us] case </w:t>
            </w:r>
            <w:r w:rsidRPr="00716ED5">
              <w:rPr>
                <w:rFonts w:ascii="Times New Roman" w:hAnsi="Times New Roman" w:hint="eastAsia"/>
                <w:sz w:val="20"/>
                <w:szCs w:val="20"/>
              </w:rPr>
              <w:t>(</w:t>
            </w:r>
            <w:r>
              <w:rPr>
                <w:rFonts w:ascii="Times New Roman" w:hAnsi="Times New Roman"/>
                <w:sz w:val="20"/>
                <w:szCs w:val="20"/>
              </w:rPr>
              <w:t>Estimation a</w:t>
            </w:r>
            <w:r w:rsidRPr="00716ED5">
              <w:rPr>
                <w:rFonts w:ascii="Times New Roman" w:hAnsi="Times New Roman" w:hint="eastAsia"/>
                <w:sz w:val="20"/>
                <w:szCs w:val="20"/>
              </w:rPr>
              <w:t xml:space="preserve">ccuracy of TA is </w:t>
            </w:r>
            <w:r>
              <w:rPr>
                <w:rFonts w:ascii="Times New Roman" w:hAnsi="Times New Roman"/>
                <w:sz w:val="20"/>
                <w:szCs w:val="20"/>
              </w:rPr>
              <w:t xml:space="preserve">with +/- </w:t>
            </w:r>
            <w:r w:rsidRPr="00716ED5">
              <w:rPr>
                <w:rFonts w:ascii="Times New Roman" w:hAnsi="Times New Roman" w:hint="eastAsia"/>
                <w:sz w:val="20"/>
                <w:szCs w:val="20"/>
              </w:rPr>
              <w:t>1 us)</w:t>
            </w:r>
          </w:p>
        </w:tc>
        <w:tc>
          <w:tcPr>
            <w:tcW w:w="2160" w:type="dxa"/>
          </w:tcPr>
          <w:p w:rsidR="00301D91" w:rsidRDefault="00301D91">
            <w:pPr>
              <w:spacing w:before="60" w:after="60" w:line="240" w:lineRule="auto"/>
              <w:jc w:val="both"/>
              <w:rPr>
                <w:rFonts w:ascii="Times New Roman" w:eastAsia="SimHei" w:hAnsi="Times New Roman"/>
                <w:b/>
                <w:bCs/>
                <w:sz w:val="20"/>
                <w:szCs w:val="20"/>
              </w:rPr>
            </w:pPr>
            <w:r>
              <w:rPr>
                <w:rFonts w:ascii="Times New Roman" w:hAnsi="Times New Roman" w:hint="eastAsia"/>
                <w:sz w:val="20"/>
                <w:szCs w:val="20"/>
              </w:rPr>
              <w:t xml:space="preserve">TA detection probability of preamble plus </w:t>
            </w:r>
            <w:r w:rsidRPr="00080837">
              <w:rPr>
                <w:rFonts w:ascii="Times New Roman" w:hAnsi="Times New Roman"/>
                <w:sz w:val="20"/>
                <w:szCs w:val="20"/>
              </w:rPr>
              <w:t>payload</w:t>
            </w:r>
            <w:r>
              <w:rPr>
                <w:rFonts w:ascii="Times New Roman" w:hAnsi="Times New Roman" w:hint="eastAsia"/>
                <w:sz w:val="20"/>
                <w:szCs w:val="20"/>
              </w:rPr>
              <w:t xml:space="preserve"> solution</w:t>
            </w:r>
            <w:r w:rsidR="00953BD6">
              <w:rPr>
                <w:rFonts w:ascii="Times New Roman" w:hAnsi="Times New Roman" w:hint="eastAsia"/>
                <w:sz w:val="20"/>
                <w:szCs w:val="20"/>
              </w:rPr>
              <w:t>, [0, 5.2us] case</w:t>
            </w:r>
            <w:r>
              <w:rPr>
                <w:rFonts w:ascii="Times New Roman" w:hAnsi="Times New Roman" w:hint="eastAsia"/>
                <w:sz w:val="20"/>
                <w:szCs w:val="20"/>
              </w:rPr>
              <w:t xml:space="preserve"> </w:t>
            </w:r>
            <w:r w:rsidRPr="00716ED5">
              <w:rPr>
                <w:rFonts w:ascii="Times New Roman" w:hAnsi="Times New Roman" w:hint="eastAsia"/>
                <w:sz w:val="20"/>
                <w:szCs w:val="20"/>
              </w:rPr>
              <w:t>(</w:t>
            </w:r>
            <w:r>
              <w:rPr>
                <w:rFonts w:ascii="Times New Roman" w:hAnsi="Times New Roman"/>
                <w:sz w:val="20"/>
                <w:szCs w:val="20"/>
              </w:rPr>
              <w:t>Estimation a</w:t>
            </w:r>
            <w:r w:rsidRPr="00716ED5">
              <w:rPr>
                <w:rFonts w:ascii="Times New Roman" w:hAnsi="Times New Roman" w:hint="eastAsia"/>
                <w:sz w:val="20"/>
                <w:szCs w:val="20"/>
              </w:rPr>
              <w:t xml:space="preserve">ccuracy of TA is </w:t>
            </w:r>
            <w:r>
              <w:rPr>
                <w:rFonts w:ascii="Times New Roman" w:hAnsi="Times New Roman"/>
                <w:sz w:val="20"/>
                <w:szCs w:val="20"/>
              </w:rPr>
              <w:t xml:space="preserve">with +/- </w:t>
            </w:r>
            <w:r w:rsidRPr="00716ED5">
              <w:rPr>
                <w:rFonts w:ascii="Times New Roman" w:hAnsi="Times New Roman" w:hint="eastAsia"/>
                <w:sz w:val="20"/>
                <w:szCs w:val="20"/>
              </w:rPr>
              <w:t>1 us)</w:t>
            </w:r>
          </w:p>
        </w:tc>
      </w:tr>
      <w:tr w:rsidR="00301D91" w:rsidRPr="00716ED5" w:rsidTr="006203A4">
        <w:tc>
          <w:tcPr>
            <w:tcW w:w="973" w:type="dxa"/>
          </w:tcPr>
          <w:p w:rsidR="00301D91" w:rsidRDefault="00301D91" w:rsidP="00AA6672">
            <w:pPr>
              <w:spacing w:before="60" w:after="60" w:line="240" w:lineRule="auto"/>
              <w:jc w:val="both"/>
              <w:rPr>
                <w:rFonts w:ascii="Times New Roman" w:hAnsi="Times New Roman"/>
                <w:sz w:val="20"/>
                <w:szCs w:val="20"/>
              </w:rPr>
            </w:pPr>
            <w:r>
              <w:rPr>
                <w:rFonts w:ascii="Times New Roman" w:hAnsi="Times New Roman" w:hint="eastAsia"/>
                <w:sz w:val="20"/>
                <w:szCs w:val="20"/>
              </w:rPr>
              <w:t>2</w:t>
            </w:r>
          </w:p>
        </w:tc>
        <w:tc>
          <w:tcPr>
            <w:tcW w:w="2087" w:type="dxa"/>
          </w:tcPr>
          <w:p w:rsidR="00301D91" w:rsidRPr="00716ED5" w:rsidRDefault="00301D91" w:rsidP="00716ED5">
            <w:pPr>
              <w:spacing w:before="60" w:after="60" w:line="240" w:lineRule="auto"/>
              <w:jc w:val="both"/>
              <w:rPr>
                <w:rFonts w:ascii="Times New Roman" w:hAnsi="Times New Roman"/>
                <w:sz w:val="20"/>
                <w:szCs w:val="20"/>
              </w:rPr>
            </w:pPr>
            <w:r>
              <w:rPr>
                <w:rFonts w:ascii="Times New Roman" w:hAnsi="Times New Roman" w:hint="eastAsia"/>
                <w:sz w:val="20"/>
                <w:szCs w:val="20"/>
              </w:rPr>
              <w:t>95.62%</w:t>
            </w:r>
          </w:p>
        </w:tc>
        <w:tc>
          <w:tcPr>
            <w:tcW w:w="2077" w:type="dxa"/>
          </w:tcPr>
          <w:p w:rsidR="00301D91" w:rsidRDefault="00301D91">
            <w:pPr>
              <w:spacing w:before="60" w:after="60" w:line="240" w:lineRule="auto"/>
              <w:jc w:val="both"/>
              <w:rPr>
                <w:rFonts w:ascii="Times New Roman" w:hAnsi="Times New Roman"/>
                <w:sz w:val="20"/>
                <w:szCs w:val="20"/>
              </w:rPr>
            </w:pPr>
            <w:r>
              <w:rPr>
                <w:rFonts w:ascii="Times New Roman" w:hAnsi="Times New Roman" w:hint="eastAsia"/>
                <w:sz w:val="20"/>
                <w:szCs w:val="20"/>
              </w:rPr>
              <w:t>82.92%</w:t>
            </w:r>
          </w:p>
        </w:tc>
        <w:tc>
          <w:tcPr>
            <w:tcW w:w="2063" w:type="dxa"/>
          </w:tcPr>
          <w:p w:rsidR="00301D91" w:rsidRDefault="00301D91">
            <w:pPr>
              <w:spacing w:before="60" w:after="60" w:line="240" w:lineRule="auto"/>
              <w:jc w:val="both"/>
              <w:rPr>
                <w:rFonts w:ascii="Times New Roman" w:hAnsi="Times New Roman"/>
                <w:sz w:val="20"/>
                <w:szCs w:val="20"/>
              </w:rPr>
            </w:pPr>
            <w:r>
              <w:rPr>
                <w:rFonts w:ascii="Times New Roman" w:hAnsi="Times New Roman" w:hint="eastAsia"/>
                <w:sz w:val="20"/>
                <w:szCs w:val="20"/>
              </w:rPr>
              <w:t>70.10%</w:t>
            </w:r>
          </w:p>
        </w:tc>
        <w:tc>
          <w:tcPr>
            <w:tcW w:w="2160" w:type="dxa"/>
          </w:tcPr>
          <w:p w:rsidR="00301D91" w:rsidRDefault="00301D91">
            <w:pPr>
              <w:spacing w:before="60" w:after="60" w:line="240" w:lineRule="auto"/>
              <w:jc w:val="both"/>
              <w:rPr>
                <w:rFonts w:ascii="Times New Roman" w:hAnsi="Times New Roman"/>
                <w:sz w:val="20"/>
                <w:szCs w:val="20"/>
              </w:rPr>
            </w:pPr>
            <w:r>
              <w:rPr>
                <w:rFonts w:ascii="Times New Roman" w:hAnsi="Times New Roman" w:hint="eastAsia"/>
                <w:sz w:val="20"/>
                <w:szCs w:val="20"/>
              </w:rPr>
              <w:t>98.70%</w:t>
            </w:r>
          </w:p>
        </w:tc>
      </w:tr>
      <w:tr w:rsidR="00301D91" w:rsidRPr="00716ED5" w:rsidTr="006203A4">
        <w:tc>
          <w:tcPr>
            <w:tcW w:w="973" w:type="dxa"/>
          </w:tcPr>
          <w:p w:rsidR="00301D91" w:rsidRPr="00AA6672" w:rsidRDefault="00301D91" w:rsidP="00716ED5">
            <w:pPr>
              <w:spacing w:before="60" w:after="60" w:line="240" w:lineRule="auto"/>
              <w:jc w:val="both"/>
              <w:rPr>
                <w:rFonts w:ascii="Times New Roman" w:eastAsia="SimHei" w:hAnsi="Times New Roman"/>
                <w:b/>
                <w:bCs/>
                <w:sz w:val="20"/>
                <w:szCs w:val="20"/>
              </w:rPr>
            </w:pPr>
            <w:r>
              <w:rPr>
                <w:rFonts w:ascii="Times New Roman" w:hAnsi="Times New Roman" w:hint="eastAsia"/>
                <w:sz w:val="20"/>
                <w:szCs w:val="20"/>
              </w:rPr>
              <w:t>4</w:t>
            </w:r>
          </w:p>
        </w:tc>
        <w:tc>
          <w:tcPr>
            <w:tcW w:w="2087" w:type="dxa"/>
          </w:tcPr>
          <w:p w:rsidR="00301D91" w:rsidRPr="00AA6672" w:rsidRDefault="00301D91" w:rsidP="00716ED5">
            <w:pPr>
              <w:spacing w:before="60" w:after="60" w:line="240" w:lineRule="auto"/>
              <w:jc w:val="both"/>
              <w:rPr>
                <w:rFonts w:ascii="Times New Roman" w:eastAsia="SimHei" w:hAnsi="Times New Roman"/>
                <w:b/>
                <w:bCs/>
                <w:sz w:val="20"/>
                <w:szCs w:val="20"/>
              </w:rPr>
            </w:pPr>
            <w:r w:rsidRPr="00301D91">
              <w:rPr>
                <w:rFonts w:ascii="Times New Roman" w:hAnsi="Times New Roman" w:hint="eastAsia"/>
                <w:sz w:val="20"/>
                <w:szCs w:val="20"/>
              </w:rPr>
              <w:t>98</w:t>
            </w:r>
            <w:r>
              <w:rPr>
                <w:rFonts w:ascii="Times New Roman" w:hAnsi="Times New Roman" w:hint="eastAsia"/>
                <w:sz w:val="20"/>
                <w:szCs w:val="20"/>
              </w:rPr>
              <w:t>.</w:t>
            </w:r>
            <w:r w:rsidRPr="00301D91">
              <w:rPr>
                <w:rFonts w:ascii="Times New Roman" w:hAnsi="Times New Roman" w:hint="eastAsia"/>
                <w:sz w:val="20"/>
                <w:szCs w:val="20"/>
              </w:rPr>
              <w:t>12</w:t>
            </w:r>
            <w:r>
              <w:rPr>
                <w:rFonts w:ascii="Times New Roman" w:hAnsi="Times New Roman" w:hint="eastAsia"/>
                <w:sz w:val="20"/>
                <w:szCs w:val="20"/>
              </w:rPr>
              <w:t>%</w:t>
            </w:r>
          </w:p>
        </w:tc>
        <w:tc>
          <w:tcPr>
            <w:tcW w:w="2077" w:type="dxa"/>
          </w:tcPr>
          <w:p w:rsidR="00301D91" w:rsidRPr="00716ED5" w:rsidRDefault="00301D91">
            <w:pPr>
              <w:spacing w:before="60" w:after="60" w:line="240" w:lineRule="auto"/>
              <w:jc w:val="both"/>
              <w:rPr>
                <w:rFonts w:ascii="Times New Roman" w:hAnsi="Times New Roman"/>
                <w:sz w:val="20"/>
                <w:szCs w:val="20"/>
              </w:rPr>
            </w:pPr>
            <w:r w:rsidRPr="00301D91">
              <w:rPr>
                <w:rFonts w:ascii="Times New Roman" w:hAnsi="Times New Roman" w:hint="eastAsia"/>
                <w:sz w:val="20"/>
                <w:szCs w:val="20"/>
              </w:rPr>
              <w:t>91</w:t>
            </w:r>
            <w:r>
              <w:rPr>
                <w:rFonts w:ascii="Times New Roman" w:hAnsi="Times New Roman" w:hint="eastAsia"/>
                <w:sz w:val="20"/>
                <w:szCs w:val="20"/>
              </w:rPr>
              <w:t>.</w:t>
            </w:r>
            <w:r w:rsidRPr="00301D91">
              <w:rPr>
                <w:rFonts w:ascii="Times New Roman" w:hAnsi="Times New Roman" w:hint="eastAsia"/>
                <w:sz w:val="20"/>
                <w:szCs w:val="20"/>
              </w:rPr>
              <w:t>74</w:t>
            </w:r>
            <w:r>
              <w:rPr>
                <w:rFonts w:ascii="Times New Roman" w:hAnsi="Times New Roman" w:hint="eastAsia"/>
                <w:sz w:val="20"/>
                <w:szCs w:val="20"/>
              </w:rPr>
              <w:t>%</w:t>
            </w:r>
          </w:p>
        </w:tc>
        <w:tc>
          <w:tcPr>
            <w:tcW w:w="2063" w:type="dxa"/>
          </w:tcPr>
          <w:p w:rsidR="00301D91" w:rsidRPr="00716ED5" w:rsidRDefault="00301D91">
            <w:pPr>
              <w:spacing w:before="60" w:after="60" w:line="240" w:lineRule="auto"/>
              <w:jc w:val="both"/>
              <w:rPr>
                <w:rFonts w:ascii="Times New Roman" w:hAnsi="Times New Roman"/>
                <w:sz w:val="20"/>
                <w:szCs w:val="20"/>
              </w:rPr>
            </w:pPr>
            <w:r>
              <w:rPr>
                <w:rFonts w:ascii="Times New Roman" w:hAnsi="Times New Roman" w:hint="eastAsia"/>
                <w:sz w:val="20"/>
                <w:szCs w:val="20"/>
              </w:rPr>
              <w:t>83.52%</w:t>
            </w:r>
          </w:p>
        </w:tc>
        <w:tc>
          <w:tcPr>
            <w:tcW w:w="2160" w:type="dxa"/>
          </w:tcPr>
          <w:p w:rsidR="00301D91" w:rsidRDefault="00301D91">
            <w:pPr>
              <w:spacing w:before="60" w:after="60" w:line="240" w:lineRule="auto"/>
              <w:jc w:val="both"/>
              <w:rPr>
                <w:rFonts w:ascii="Times New Roman" w:eastAsia="SimHei" w:hAnsi="Times New Roman"/>
                <w:b/>
                <w:bCs/>
                <w:sz w:val="20"/>
                <w:szCs w:val="20"/>
              </w:rPr>
            </w:pPr>
            <w:r w:rsidRPr="00716ED5">
              <w:rPr>
                <w:rFonts w:ascii="Times New Roman" w:hAnsi="Times New Roman" w:hint="eastAsia"/>
                <w:sz w:val="20"/>
                <w:szCs w:val="20"/>
              </w:rPr>
              <w:t>9</w:t>
            </w:r>
            <w:r>
              <w:rPr>
                <w:rFonts w:ascii="Times New Roman" w:hAnsi="Times New Roman" w:hint="eastAsia"/>
                <w:sz w:val="20"/>
                <w:szCs w:val="20"/>
              </w:rPr>
              <w:t>9.54</w:t>
            </w:r>
            <w:r w:rsidRPr="00716ED5">
              <w:rPr>
                <w:rFonts w:ascii="Times New Roman" w:hAnsi="Times New Roman" w:hint="eastAsia"/>
                <w:sz w:val="20"/>
                <w:szCs w:val="20"/>
              </w:rPr>
              <w:t>%</w:t>
            </w:r>
          </w:p>
        </w:tc>
      </w:tr>
      <w:tr w:rsidR="00301D91" w:rsidRPr="00716ED5" w:rsidTr="006203A4">
        <w:tc>
          <w:tcPr>
            <w:tcW w:w="973" w:type="dxa"/>
          </w:tcPr>
          <w:p w:rsidR="00301D91" w:rsidRPr="00AA6672" w:rsidRDefault="00301D91" w:rsidP="00716ED5">
            <w:pPr>
              <w:spacing w:before="60" w:after="60" w:line="240" w:lineRule="auto"/>
              <w:jc w:val="both"/>
              <w:rPr>
                <w:rFonts w:ascii="Times New Roman" w:eastAsia="SimHei" w:hAnsi="Times New Roman"/>
                <w:b/>
                <w:bCs/>
                <w:sz w:val="20"/>
                <w:szCs w:val="20"/>
              </w:rPr>
            </w:pPr>
            <w:r>
              <w:rPr>
                <w:rFonts w:ascii="Times New Roman" w:hAnsi="Times New Roman" w:hint="eastAsia"/>
                <w:sz w:val="20"/>
                <w:szCs w:val="20"/>
              </w:rPr>
              <w:t>6</w:t>
            </w:r>
          </w:p>
        </w:tc>
        <w:tc>
          <w:tcPr>
            <w:tcW w:w="2087" w:type="dxa"/>
          </w:tcPr>
          <w:p w:rsidR="00301D91" w:rsidRPr="00AA6672" w:rsidRDefault="00301D91" w:rsidP="00716ED5">
            <w:pPr>
              <w:spacing w:before="60" w:after="60" w:line="240" w:lineRule="auto"/>
              <w:jc w:val="both"/>
              <w:rPr>
                <w:rFonts w:ascii="Times New Roman" w:eastAsia="SimHei" w:hAnsi="Times New Roman"/>
                <w:b/>
                <w:bCs/>
                <w:sz w:val="20"/>
                <w:szCs w:val="20"/>
              </w:rPr>
            </w:pPr>
            <w:r w:rsidRPr="00301D91">
              <w:rPr>
                <w:rFonts w:ascii="Times New Roman" w:hAnsi="Times New Roman" w:hint="eastAsia"/>
                <w:sz w:val="20"/>
                <w:szCs w:val="20"/>
              </w:rPr>
              <w:t>99</w:t>
            </w:r>
            <w:r>
              <w:rPr>
                <w:rFonts w:ascii="Times New Roman" w:hAnsi="Times New Roman" w:hint="eastAsia"/>
                <w:sz w:val="20"/>
                <w:szCs w:val="20"/>
              </w:rPr>
              <w:t>.</w:t>
            </w:r>
            <w:r w:rsidRPr="00301D91">
              <w:rPr>
                <w:rFonts w:ascii="Times New Roman" w:hAnsi="Times New Roman" w:hint="eastAsia"/>
                <w:sz w:val="20"/>
                <w:szCs w:val="20"/>
              </w:rPr>
              <w:t>26</w:t>
            </w:r>
            <w:r>
              <w:rPr>
                <w:rFonts w:ascii="Times New Roman" w:hAnsi="Times New Roman" w:hint="eastAsia"/>
                <w:sz w:val="20"/>
                <w:szCs w:val="20"/>
              </w:rPr>
              <w:t>%</w:t>
            </w:r>
          </w:p>
        </w:tc>
        <w:tc>
          <w:tcPr>
            <w:tcW w:w="2077" w:type="dxa"/>
          </w:tcPr>
          <w:p w:rsidR="00301D91" w:rsidRPr="00716ED5" w:rsidRDefault="00301D91">
            <w:pPr>
              <w:spacing w:before="60" w:after="60" w:line="240" w:lineRule="auto"/>
              <w:jc w:val="both"/>
              <w:rPr>
                <w:rFonts w:ascii="Times New Roman" w:hAnsi="Times New Roman"/>
                <w:sz w:val="20"/>
                <w:szCs w:val="20"/>
              </w:rPr>
            </w:pPr>
            <w:r w:rsidRPr="00301D91">
              <w:rPr>
                <w:rFonts w:ascii="Times New Roman" w:hAnsi="Times New Roman" w:hint="eastAsia"/>
                <w:sz w:val="20"/>
                <w:szCs w:val="20"/>
              </w:rPr>
              <w:t>96</w:t>
            </w:r>
            <w:r>
              <w:rPr>
                <w:rFonts w:ascii="Times New Roman" w:hAnsi="Times New Roman" w:hint="eastAsia"/>
                <w:sz w:val="20"/>
                <w:szCs w:val="20"/>
              </w:rPr>
              <w:t>.</w:t>
            </w:r>
            <w:r w:rsidRPr="00301D91">
              <w:rPr>
                <w:rFonts w:ascii="Times New Roman" w:hAnsi="Times New Roman" w:hint="eastAsia"/>
                <w:sz w:val="20"/>
                <w:szCs w:val="20"/>
              </w:rPr>
              <w:t>20</w:t>
            </w:r>
            <w:r>
              <w:rPr>
                <w:rFonts w:ascii="Times New Roman" w:hAnsi="Times New Roman" w:hint="eastAsia"/>
                <w:sz w:val="20"/>
                <w:szCs w:val="20"/>
              </w:rPr>
              <w:t>%</w:t>
            </w:r>
          </w:p>
        </w:tc>
        <w:tc>
          <w:tcPr>
            <w:tcW w:w="2063" w:type="dxa"/>
          </w:tcPr>
          <w:p w:rsidR="00301D91" w:rsidRPr="00716ED5" w:rsidRDefault="00301D91">
            <w:pPr>
              <w:spacing w:before="60" w:after="60" w:line="240" w:lineRule="auto"/>
              <w:jc w:val="both"/>
              <w:rPr>
                <w:rFonts w:ascii="Times New Roman" w:hAnsi="Times New Roman"/>
                <w:sz w:val="20"/>
                <w:szCs w:val="20"/>
              </w:rPr>
            </w:pPr>
            <w:r>
              <w:rPr>
                <w:rFonts w:ascii="Times New Roman" w:hAnsi="Times New Roman" w:hint="eastAsia"/>
                <w:sz w:val="20"/>
                <w:szCs w:val="20"/>
              </w:rPr>
              <w:t>92.14%</w:t>
            </w:r>
          </w:p>
        </w:tc>
        <w:tc>
          <w:tcPr>
            <w:tcW w:w="2160" w:type="dxa"/>
          </w:tcPr>
          <w:p w:rsidR="00301D91" w:rsidRDefault="00301D91">
            <w:pPr>
              <w:spacing w:before="60" w:after="60" w:line="240" w:lineRule="auto"/>
              <w:jc w:val="both"/>
              <w:rPr>
                <w:rFonts w:ascii="Times New Roman" w:eastAsia="SimHei" w:hAnsi="Times New Roman"/>
                <w:b/>
                <w:bCs/>
                <w:sz w:val="20"/>
                <w:szCs w:val="20"/>
              </w:rPr>
            </w:pPr>
            <w:r w:rsidRPr="00716ED5">
              <w:rPr>
                <w:rFonts w:ascii="Times New Roman" w:hAnsi="Times New Roman" w:hint="eastAsia"/>
                <w:sz w:val="20"/>
                <w:szCs w:val="20"/>
              </w:rPr>
              <w:t>9</w:t>
            </w:r>
            <w:r>
              <w:rPr>
                <w:rFonts w:ascii="Times New Roman" w:hAnsi="Times New Roman" w:hint="eastAsia"/>
                <w:sz w:val="20"/>
                <w:szCs w:val="20"/>
              </w:rPr>
              <w:t>9.82</w:t>
            </w:r>
            <w:r w:rsidRPr="00716ED5">
              <w:rPr>
                <w:rFonts w:ascii="Times New Roman" w:hAnsi="Times New Roman" w:hint="eastAsia"/>
                <w:sz w:val="20"/>
                <w:szCs w:val="20"/>
              </w:rPr>
              <w:t>%</w:t>
            </w:r>
          </w:p>
        </w:tc>
      </w:tr>
      <w:tr w:rsidR="00301D91" w:rsidRPr="00716ED5" w:rsidTr="006203A4">
        <w:tc>
          <w:tcPr>
            <w:tcW w:w="973" w:type="dxa"/>
          </w:tcPr>
          <w:p w:rsidR="00301D91" w:rsidRPr="00AA6672" w:rsidRDefault="00301D91" w:rsidP="00716ED5">
            <w:pPr>
              <w:spacing w:before="60" w:after="60" w:line="240" w:lineRule="auto"/>
              <w:jc w:val="both"/>
              <w:rPr>
                <w:rFonts w:ascii="Times New Roman" w:eastAsia="SimHei" w:hAnsi="Times New Roman"/>
                <w:b/>
                <w:bCs/>
                <w:sz w:val="20"/>
                <w:szCs w:val="20"/>
              </w:rPr>
            </w:pPr>
            <w:r w:rsidRPr="00716ED5">
              <w:rPr>
                <w:rFonts w:ascii="Times New Roman" w:hAnsi="Times New Roman" w:hint="eastAsia"/>
                <w:sz w:val="20"/>
                <w:szCs w:val="20"/>
              </w:rPr>
              <w:t>8</w:t>
            </w:r>
          </w:p>
        </w:tc>
        <w:tc>
          <w:tcPr>
            <w:tcW w:w="2087" w:type="dxa"/>
          </w:tcPr>
          <w:p w:rsidR="00301D91" w:rsidRPr="00AA6672" w:rsidRDefault="00301D91" w:rsidP="00716ED5">
            <w:pPr>
              <w:spacing w:before="60" w:after="60" w:line="240" w:lineRule="auto"/>
              <w:jc w:val="both"/>
              <w:rPr>
                <w:rFonts w:ascii="Times New Roman" w:eastAsia="SimHei" w:hAnsi="Times New Roman"/>
                <w:b/>
                <w:bCs/>
                <w:sz w:val="20"/>
                <w:szCs w:val="20"/>
              </w:rPr>
            </w:pPr>
            <w:r w:rsidRPr="00301D91">
              <w:rPr>
                <w:rFonts w:ascii="Times New Roman" w:hAnsi="Times New Roman" w:hint="eastAsia"/>
                <w:sz w:val="20"/>
                <w:szCs w:val="20"/>
              </w:rPr>
              <w:t>99</w:t>
            </w:r>
            <w:r>
              <w:rPr>
                <w:rFonts w:ascii="Times New Roman" w:hAnsi="Times New Roman" w:hint="eastAsia"/>
                <w:sz w:val="20"/>
                <w:szCs w:val="20"/>
              </w:rPr>
              <w:t>.</w:t>
            </w:r>
            <w:r w:rsidRPr="00301D91">
              <w:rPr>
                <w:rFonts w:ascii="Times New Roman" w:hAnsi="Times New Roman" w:hint="eastAsia"/>
                <w:sz w:val="20"/>
                <w:szCs w:val="20"/>
              </w:rPr>
              <w:t>74</w:t>
            </w:r>
            <w:r>
              <w:rPr>
                <w:rFonts w:ascii="Times New Roman" w:hAnsi="Times New Roman" w:hint="eastAsia"/>
                <w:sz w:val="20"/>
                <w:szCs w:val="20"/>
              </w:rPr>
              <w:t>%</w:t>
            </w:r>
          </w:p>
        </w:tc>
        <w:tc>
          <w:tcPr>
            <w:tcW w:w="2077" w:type="dxa"/>
          </w:tcPr>
          <w:p w:rsidR="00301D91" w:rsidRDefault="00301D91">
            <w:pPr>
              <w:spacing w:before="60" w:after="60" w:line="240" w:lineRule="auto"/>
              <w:jc w:val="both"/>
              <w:rPr>
                <w:rFonts w:ascii="Times New Roman" w:hAnsi="Times New Roman"/>
                <w:sz w:val="20"/>
                <w:szCs w:val="20"/>
              </w:rPr>
            </w:pPr>
            <w:r w:rsidRPr="00301D91">
              <w:rPr>
                <w:rFonts w:ascii="Times New Roman" w:hAnsi="Times New Roman" w:hint="eastAsia"/>
                <w:sz w:val="20"/>
                <w:szCs w:val="20"/>
              </w:rPr>
              <w:t>98</w:t>
            </w:r>
            <w:r>
              <w:rPr>
                <w:rFonts w:ascii="Times New Roman" w:hAnsi="Times New Roman" w:hint="eastAsia"/>
                <w:sz w:val="20"/>
                <w:szCs w:val="20"/>
              </w:rPr>
              <w:t>.</w:t>
            </w:r>
            <w:r w:rsidRPr="00301D91">
              <w:rPr>
                <w:rFonts w:ascii="Times New Roman" w:hAnsi="Times New Roman" w:hint="eastAsia"/>
                <w:sz w:val="20"/>
                <w:szCs w:val="20"/>
              </w:rPr>
              <w:t>26</w:t>
            </w:r>
            <w:r>
              <w:rPr>
                <w:rFonts w:ascii="Times New Roman" w:hAnsi="Times New Roman" w:hint="eastAsia"/>
                <w:sz w:val="20"/>
                <w:szCs w:val="20"/>
              </w:rPr>
              <w:t>%</w:t>
            </w:r>
          </w:p>
        </w:tc>
        <w:tc>
          <w:tcPr>
            <w:tcW w:w="2063" w:type="dxa"/>
          </w:tcPr>
          <w:p w:rsidR="00301D91" w:rsidRDefault="00301D91">
            <w:pPr>
              <w:spacing w:before="60" w:after="60" w:line="240" w:lineRule="auto"/>
              <w:jc w:val="both"/>
              <w:rPr>
                <w:rFonts w:ascii="Times New Roman" w:hAnsi="Times New Roman"/>
                <w:sz w:val="20"/>
                <w:szCs w:val="20"/>
              </w:rPr>
            </w:pPr>
            <w:r>
              <w:rPr>
                <w:rFonts w:ascii="Times New Roman" w:hAnsi="Times New Roman" w:hint="eastAsia"/>
                <w:sz w:val="20"/>
                <w:szCs w:val="20"/>
              </w:rPr>
              <w:t>96.52%</w:t>
            </w:r>
          </w:p>
        </w:tc>
        <w:tc>
          <w:tcPr>
            <w:tcW w:w="2160" w:type="dxa"/>
          </w:tcPr>
          <w:p w:rsidR="00301D91" w:rsidRDefault="00301D91">
            <w:pPr>
              <w:spacing w:before="60" w:after="60" w:line="240" w:lineRule="auto"/>
              <w:jc w:val="both"/>
              <w:rPr>
                <w:rFonts w:ascii="Times New Roman" w:eastAsia="SimHei" w:hAnsi="Times New Roman"/>
                <w:b/>
                <w:bCs/>
                <w:sz w:val="20"/>
                <w:szCs w:val="20"/>
              </w:rPr>
            </w:pPr>
            <w:r>
              <w:rPr>
                <w:rFonts w:ascii="Times New Roman" w:hAnsi="Times New Roman" w:hint="eastAsia"/>
                <w:sz w:val="20"/>
                <w:szCs w:val="20"/>
              </w:rPr>
              <w:t>99.94</w:t>
            </w:r>
            <w:r w:rsidRPr="00716ED5">
              <w:rPr>
                <w:rFonts w:ascii="Times New Roman" w:hAnsi="Times New Roman" w:hint="eastAsia"/>
                <w:sz w:val="20"/>
                <w:szCs w:val="20"/>
              </w:rPr>
              <w:t>%</w:t>
            </w:r>
          </w:p>
        </w:tc>
      </w:tr>
      <w:tr w:rsidR="00301D91" w:rsidRPr="00716ED5" w:rsidTr="006203A4">
        <w:tc>
          <w:tcPr>
            <w:tcW w:w="973" w:type="dxa"/>
          </w:tcPr>
          <w:p w:rsidR="00301D91" w:rsidRPr="00716ED5" w:rsidRDefault="00301D91" w:rsidP="00716ED5">
            <w:pPr>
              <w:spacing w:before="60" w:after="60" w:line="240" w:lineRule="auto"/>
              <w:jc w:val="both"/>
              <w:rPr>
                <w:rFonts w:ascii="Times New Roman" w:hAnsi="Times New Roman"/>
                <w:sz w:val="20"/>
                <w:szCs w:val="20"/>
              </w:rPr>
            </w:pPr>
            <w:r>
              <w:rPr>
                <w:rFonts w:ascii="Times New Roman" w:hAnsi="Times New Roman" w:hint="eastAsia"/>
                <w:sz w:val="20"/>
                <w:szCs w:val="20"/>
              </w:rPr>
              <w:t>10</w:t>
            </w:r>
          </w:p>
        </w:tc>
        <w:tc>
          <w:tcPr>
            <w:tcW w:w="2087" w:type="dxa"/>
          </w:tcPr>
          <w:p w:rsidR="00301D91" w:rsidRPr="00716ED5" w:rsidRDefault="00301D91" w:rsidP="00716ED5">
            <w:pPr>
              <w:spacing w:before="60" w:after="60" w:line="240" w:lineRule="auto"/>
              <w:jc w:val="both"/>
              <w:rPr>
                <w:rFonts w:ascii="Times New Roman" w:hAnsi="Times New Roman"/>
                <w:sz w:val="20"/>
                <w:szCs w:val="20"/>
              </w:rPr>
            </w:pPr>
            <w:r>
              <w:rPr>
                <w:rFonts w:ascii="Times New Roman" w:hAnsi="Times New Roman" w:hint="eastAsia"/>
                <w:sz w:val="20"/>
                <w:szCs w:val="20"/>
              </w:rPr>
              <w:t>99.96%</w:t>
            </w:r>
          </w:p>
        </w:tc>
        <w:tc>
          <w:tcPr>
            <w:tcW w:w="2077" w:type="dxa"/>
          </w:tcPr>
          <w:p w:rsidR="00301D91" w:rsidRDefault="00301D91" w:rsidP="00716ED5">
            <w:pPr>
              <w:spacing w:before="60" w:after="60" w:line="240" w:lineRule="auto"/>
              <w:jc w:val="both"/>
              <w:rPr>
                <w:rFonts w:ascii="Times New Roman" w:hAnsi="Times New Roman"/>
                <w:sz w:val="20"/>
                <w:szCs w:val="20"/>
              </w:rPr>
            </w:pPr>
            <w:r>
              <w:rPr>
                <w:rFonts w:ascii="Times New Roman" w:hAnsi="Times New Roman" w:hint="eastAsia"/>
                <w:sz w:val="20"/>
                <w:szCs w:val="20"/>
              </w:rPr>
              <w:t>99.24%</w:t>
            </w:r>
          </w:p>
        </w:tc>
        <w:tc>
          <w:tcPr>
            <w:tcW w:w="2063" w:type="dxa"/>
          </w:tcPr>
          <w:p w:rsidR="00301D91" w:rsidRDefault="00301D91" w:rsidP="00716ED5">
            <w:pPr>
              <w:spacing w:before="60" w:after="60" w:line="240" w:lineRule="auto"/>
              <w:jc w:val="both"/>
              <w:rPr>
                <w:rFonts w:ascii="Times New Roman" w:hAnsi="Times New Roman"/>
                <w:sz w:val="20"/>
                <w:szCs w:val="20"/>
              </w:rPr>
            </w:pPr>
            <w:r>
              <w:rPr>
                <w:rFonts w:ascii="Times New Roman" w:hAnsi="Times New Roman" w:hint="eastAsia"/>
                <w:sz w:val="20"/>
                <w:szCs w:val="20"/>
              </w:rPr>
              <w:t>98.54%</w:t>
            </w:r>
          </w:p>
        </w:tc>
        <w:tc>
          <w:tcPr>
            <w:tcW w:w="2160" w:type="dxa"/>
          </w:tcPr>
          <w:p w:rsidR="00301D91" w:rsidRPr="00716ED5" w:rsidRDefault="00301D91" w:rsidP="00716ED5">
            <w:pPr>
              <w:spacing w:before="60" w:after="60" w:line="240" w:lineRule="auto"/>
              <w:jc w:val="both"/>
              <w:rPr>
                <w:rFonts w:ascii="Times New Roman" w:hAnsi="Times New Roman"/>
                <w:sz w:val="20"/>
                <w:szCs w:val="20"/>
              </w:rPr>
            </w:pPr>
            <w:r>
              <w:rPr>
                <w:rFonts w:ascii="Times New Roman" w:hAnsi="Times New Roman" w:hint="eastAsia"/>
                <w:sz w:val="20"/>
                <w:szCs w:val="20"/>
              </w:rPr>
              <w:t>99.99%</w:t>
            </w:r>
          </w:p>
        </w:tc>
      </w:tr>
    </w:tbl>
    <w:p w:rsidR="0034257B" w:rsidRDefault="0034257B">
      <w:pPr>
        <w:spacing w:before="60" w:after="60" w:line="240" w:lineRule="auto"/>
        <w:jc w:val="both"/>
        <w:rPr>
          <w:rFonts w:ascii="Times New Roman" w:hAnsi="Times New Roman"/>
          <w:sz w:val="20"/>
        </w:rPr>
      </w:pPr>
    </w:p>
    <w:p w:rsidR="00DD0C31" w:rsidRDefault="004C64AA" w:rsidP="00DD0C31">
      <w:pPr>
        <w:jc w:val="both"/>
        <w:rPr>
          <w:rFonts w:ascii="Times New Roman" w:hAnsi="Times New Roman"/>
          <w:sz w:val="20"/>
          <w:szCs w:val="20"/>
        </w:rPr>
      </w:pPr>
      <w:r w:rsidRPr="0006015B">
        <w:rPr>
          <w:rFonts w:ascii="Times New Roman" w:hAnsi="Times New Roman" w:hint="eastAsia"/>
          <w:sz w:val="20"/>
          <w:szCs w:val="20"/>
        </w:rPr>
        <w:t xml:space="preserve">It should be noticed </w:t>
      </w:r>
      <w:r w:rsidRPr="0006015B">
        <w:rPr>
          <w:rFonts w:ascii="Times New Roman" w:hAnsi="Times New Roman"/>
          <w:sz w:val="20"/>
          <w:szCs w:val="20"/>
        </w:rPr>
        <w:t>that</w:t>
      </w:r>
      <w:r w:rsidRPr="0006015B">
        <w:rPr>
          <w:rFonts w:ascii="Times New Roman" w:hAnsi="Times New Roman" w:hint="eastAsia"/>
          <w:sz w:val="20"/>
          <w:szCs w:val="20"/>
        </w:rPr>
        <w:t xml:space="preserve"> the preamble design for the comparison is based on ZC sequence with </w:t>
      </w:r>
      <w:r w:rsidRPr="0006015B">
        <w:rPr>
          <w:rFonts w:ascii="Times New Roman" w:hAnsi="Times New Roman"/>
          <w:sz w:val="20"/>
          <w:szCs w:val="20"/>
        </w:rPr>
        <w:t>cyclic</w:t>
      </w:r>
      <w:r w:rsidRPr="0006015B">
        <w:rPr>
          <w:rFonts w:ascii="Times New Roman" w:hAnsi="Times New Roman" w:hint="eastAsia"/>
          <w:sz w:val="20"/>
          <w:szCs w:val="20"/>
        </w:rPr>
        <w:t xml:space="preserve"> shift</w:t>
      </w:r>
      <w:r w:rsidR="00D03BB5" w:rsidRPr="0006015B">
        <w:rPr>
          <w:rFonts w:ascii="Times New Roman" w:hAnsi="Times New Roman" w:hint="eastAsia"/>
          <w:sz w:val="20"/>
          <w:szCs w:val="20"/>
        </w:rPr>
        <w:t>, similar with</w:t>
      </w:r>
      <w:r w:rsidRPr="0006015B">
        <w:rPr>
          <w:rFonts w:ascii="Times New Roman" w:hAnsi="Times New Roman" w:hint="eastAsia"/>
          <w:sz w:val="20"/>
          <w:szCs w:val="20"/>
        </w:rPr>
        <w:t xml:space="preserve"> that in LTE.</w:t>
      </w:r>
      <w:r w:rsidR="004D3DF2" w:rsidRPr="0006015B">
        <w:rPr>
          <w:rFonts w:ascii="Times New Roman" w:hAnsi="Times New Roman" w:hint="eastAsia"/>
          <w:sz w:val="20"/>
          <w:szCs w:val="20"/>
        </w:rPr>
        <w:t xml:space="preserve"> The preamble in LTE is designed with quite low </w:t>
      </w:r>
      <w:bookmarkStart w:id="9" w:name="OLE_LINK3"/>
      <w:bookmarkStart w:id="10" w:name="OLE_LINK4"/>
      <w:r w:rsidR="00EE23FB">
        <w:rPr>
          <w:rFonts w:ascii="Times New Roman" w:hAnsi="Times New Roman" w:hint="eastAsia"/>
          <w:sz w:val="20"/>
          <w:szCs w:val="20"/>
        </w:rPr>
        <w:t>detecting</w:t>
      </w:r>
      <w:r w:rsidR="00EE23FB" w:rsidRPr="0006015B">
        <w:rPr>
          <w:rFonts w:ascii="Times New Roman" w:hAnsi="Times New Roman" w:hint="eastAsia"/>
          <w:sz w:val="20"/>
          <w:szCs w:val="20"/>
        </w:rPr>
        <w:t xml:space="preserve"> </w:t>
      </w:r>
      <w:r w:rsidR="004D3DF2" w:rsidRPr="0006015B">
        <w:rPr>
          <w:rFonts w:ascii="Times New Roman" w:hAnsi="Times New Roman" w:hint="eastAsia"/>
          <w:sz w:val="20"/>
          <w:szCs w:val="20"/>
        </w:rPr>
        <w:t>threshold</w:t>
      </w:r>
      <w:bookmarkEnd w:id="9"/>
      <w:bookmarkEnd w:id="10"/>
      <w:r w:rsidR="004D3DF2" w:rsidRPr="0006015B">
        <w:rPr>
          <w:rFonts w:ascii="Times New Roman" w:hAnsi="Times New Roman" w:hint="eastAsia"/>
          <w:sz w:val="20"/>
          <w:szCs w:val="20"/>
        </w:rPr>
        <w:t xml:space="preserve"> (e.g. &lt;-10dB SNR), to </w:t>
      </w:r>
      <w:r w:rsidR="00DB0168" w:rsidRPr="0006015B">
        <w:rPr>
          <w:rFonts w:ascii="Times New Roman" w:hAnsi="Times New Roman" w:hint="eastAsia"/>
          <w:sz w:val="20"/>
          <w:szCs w:val="20"/>
        </w:rPr>
        <w:t xml:space="preserve">support large cell radius and to </w:t>
      </w:r>
      <w:r w:rsidR="00741D3F" w:rsidRPr="0006015B">
        <w:rPr>
          <w:rFonts w:ascii="Times New Roman" w:hAnsi="Times New Roman" w:hint="eastAsia"/>
          <w:sz w:val="20"/>
          <w:szCs w:val="20"/>
        </w:rPr>
        <w:t>minimize the</w:t>
      </w:r>
      <w:r w:rsidR="004D3DF2" w:rsidRPr="0006015B">
        <w:rPr>
          <w:rFonts w:ascii="Times New Roman" w:hAnsi="Times New Roman" w:hint="eastAsia"/>
          <w:sz w:val="20"/>
          <w:szCs w:val="20"/>
        </w:rPr>
        <w:t xml:space="preserve"> miss detection </w:t>
      </w:r>
      <w:r w:rsidR="004D3DF2" w:rsidRPr="0006015B">
        <w:rPr>
          <w:rFonts w:ascii="Times New Roman" w:hAnsi="Times New Roman"/>
          <w:sz w:val="20"/>
          <w:szCs w:val="20"/>
        </w:rPr>
        <w:t>probability</w:t>
      </w:r>
      <w:r w:rsidR="004D3DF2" w:rsidRPr="0006015B">
        <w:rPr>
          <w:rFonts w:ascii="Times New Roman" w:hAnsi="Times New Roman" w:hint="eastAsia"/>
          <w:sz w:val="20"/>
          <w:szCs w:val="20"/>
        </w:rPr>
        <w:t xml:space="preserve"> of the users with poor geometry.</w:t>
      </w:r>
      <w:r w:rsidRPr="0006015B">
        <w:rPr>
          <w:rFonts w:ascii="Times New Roman" w:hAnsi="Times New Roman" w:hint="eastAsia"/>
          <w:sz w:val="20"/>
          <w:szCs w:val="20"/>
        </w:rPr>
        <w:t xml:space="preserve"> The preamble plus payload solution can be further </w:t>
      </w:r>
      <w:r w:rsidR="00A42B53" w:rsidRPr="0006015B">
        <w:rPr>
          <w:rFonts w:ascii="Times New Roman" w:hAnsi="Times New Roman" w:hint="eastAsia"/>
          <w:sz w:val="20"/>
          <w:szCs w:val="20"/>
        </w:rPr>
        <w:t>optimized</w:t>
      </w:r>
      <w:r w:rsidRPr="0006015B">
        <w:rPr>
          <w:rFonts w:ascii="Times New Roman" w:hAnsi="Times New Roman" w:hint="eastAsia"/>
          <w:sz w:val="20"/>
          <w:szCs w:val="20"/>
        </w:rPr>
        <w:t xml:space="preserve"> </w:t>
      </w:r>
      <w:r w:rsidR="000C67B9" w:rsidRPr="0006015B">
        <w:rPr>
          <w:rFonts w:ascii="Times New Roman" w:hAnsi="Times New Roman" w:hint="eastAsia"/>
          <w:sz w:val="20"/>
          <w:szCs w:val="20"/>
        </w:rPr>
        <w:t xml:space="preserve">to </w:t>
      </w:r>
      <w:r w:rsidR="000C67B9" w:rsidRPr="0006015B">
        <w:rPr>
          <w:rFonts w:ascii="Times New Roman" w:hAnsi="Times New Roman"/>
          <w:sz w:val="20"/>
          <w:szCs w:val="20"/>
        </w:rPr>
        <w:t>accommodate</w:t>
      </w:r>
      <w:r w:rsidR="000C67B9" w:rsidRPr="0006015B">
        <w:rPr>
          <w:rFonts w:ascii="Times New Roman" w:hAnsi="Times New Roman" w:hint="eastAsia"/>
          <w:sz w:val="20"/>
          <w:szCs w:val="20"/>
        </w:rPr>
        <w:t xml:space="preserve"> the </w:t>
      </w:r>
      <w:r w:rsidR="00EE23FB">
        <w:rPr>
          <w:rFonts w:ascii="Times New Roman" w:hAnsi="Times New Roman" w:hint="eastAsia"/>
          <w:sz w:val="20"/>
          <w:szCs w:val="20"/>
        </w:rPr>
        <w:t>detecting</w:t>
      </w:r>
      <w:r w:rsidR="00EE23FB" w:rsidRPr="0006015B">
        <w:rPr>
          <w:rFonts w:ascii="Times New Roman" w:hAnsi="Times New Roman" w:hint="eastAsia"/>
          <w:sz w:val="20"/>
          <w:szCs w:val="20"/>
        </w:rPr>
        <w:t xml:space="preserve"> </w:t>
      </w:r>
      <w:r w:rsidR="00150444" w:rsidRPr="0006015B">
        <w:rPr>
          <w:rFonts w:ascii="Times New Roman" w:hAnsi="Times New Roman" w:hint="eastAsia"/>
          <w:sz w:val="20"/>
          <w:szCs w:val="20"/>
        </w:rPr>
        <w:t xml:space="preserve">threshold </w:t>
      </w:r>
      <w:r w:rsidR="00F91890" w:rsidRPr="0006015B">
        <w:rPr>
          <w:rFonts w:ascii="Times New Roman" w:hAnsi="Times New Roman" w:hint="eastAsia"/>
          <w:sz w:val="20"/>
          <w:szCs w:val="20"/>
        </w:rPr>
        <w:t>of preamble sequences</w:t>
      </w:r>
      <w:r w:rsidR="000C67B9" w:rsidRPr="0006015B">
        <w:rPr>
          <w:rFonts w:ascii="Times New Roman" w:hAnsi="Times New Roman" w:hint="eastAsia"/>
          <w:sz w:val="20"/>
          <w:szCs w:val="20"/>
        </w:rPr>
        <w:t xml:space="preserve"> </w:t>
      </w:r>
      <w:r w:rsidR="00F91890" w:rsidRPr="0006015B">
        <w:rPr>
          <w:rFonts w:ascii="Times New Roman" w:hAnsi="Times New Roman" w:hint="eastAsia"/>
          <w:sz w:val="20"/>
          <w:szCs w:val="20"/>
        </w:rPr>
        <w:t>to be</w:t>
      </w:r>
      <w:r w:rsidR="00150444" w:rsidRPr="0006015B">
        <w:rPr>
          <w:rFonts w:ascii="Times New Roman" w:hAnsi="Times New Roman" w:hint="eastAsia"/>
          <w:sz w:val="20"/>
          <w:szCs w:val="20"/>
        </w:rPr>
        <w:t xml:space="preserve"> as</w:t>
      </w:r>
      <w:r w:rsidR="00F91890" w:rsidRPr="0006015B">
        <w:rPr>
          <w:rFonts w:ascii="Times New Roman" w:hAnsi="Times New Roman" w:hint="eastAsia"/>
          <w:sz w:val="20"/>
          <w:szCs w:val="20"/>
        </w:rPr>
        <w:t xml:space="preserve"> similar as</w:t>
      </w:r>
      <w:r w:rsidR="000C67B9" w:rsidRPr="0006015B">
        <w:rPr>
          <w:rFonts w:ascii="Times New Roman" w:hAnsi="Times New Roman" w:hint="eastAsia"/>
          <w:sz w:val="20"/>
          <w:szCs w:val="20"/>
        </w:rPr>
        <w:t xml:space="preserve"> the</w:t>
      </w:r>
      <w:r w:rsidR="00EE23FB">
        <w:rPr>
          <w:rFonts w:ascii="Times New Roman" w:hAnsi="Times New Roman" w:hint="eastAsia"/>
          <w:sz w:val="20"/>
          <w:szCs w:val="20"/>
        </w:rPr>
        <w:t xml:space="preserve"> decoding</w:t>
      </w:r>
      <w:r w:rsidR="00EE23FB" w:rsidRPr="0006015B">
        <w:rPr>
          <w:rFonts w:ascii="Times New Roman" w:hAnsi="Times New Roman" w:hint="eastAsia"/>
          <w:sz w:val="20"/>
          <w:szCs w:val="20"/>
        </w:rPr>
        <w:t xml:space="preserve"> threshold</w:t>
      </w:r>
      <w:r w:rsidR="004E4831">
        <w:rPr>
          <w:rFonts w:ascii="Times New Roman" w:hAnsi="Times New Roman" w:hint="eastAsia"/>
          <w:sz w:val="20"/>
          <w:szCs w:val="20"/>
        </w:rPr>
        <w:t xml:space="preserve"> of</w:t>
      </w:r>
      <w:r w:rsidR="00EE23FB">
        <w:rPr>
          <w:rFonts w:ascii="Times New Roman" w:hAnsi="Times New Roman" w:hint="eastAsia"/>
          <w:sz w:val="20"/>
          <w:szCs w:val="20"/>
        </w:rPr>
        <w:t xml:space="preserve"> </w:t>
      </w:r>
      <w:r w:rsidR="000C67B9" w:rsidRPr="0006015B">
        <w:rPr>
          <w:rFonts w:ascii="Times New Roman" w:hAnsi="Times New Roman" w:hint="eastAsia"/>
          <w:sz w:val="20"/>
          <w:szCs w:val="20"/>
        </w:rPr>
        <w:t>payload part.</w:t>
      </w:r>
      <w:r w:rsidR="00F91890" w:rsidRPr="0006015B">
        <w:rPr>
          <w:rFonts w:ascii="Times New Roman" w:hAnsi="Times New Roman" w:hint="eastAsia"/>
          <w:sz w:val="20"/>
          <w:szCs w:val="20"/>
        </w:rPr>
        <w:t xml:space="preserve"> For example, </w:t>
      </w:r>
      <w:r w:rsidR="0020620F" w:rsidRPr="0006015B">
        <w:rPr>
          <w:rFonts w:ascii="Times New Roman" w:hAnsi="Times New Roman" w:hint="eastAsia"/>
          <w:sz w:val="20"/>
          <w:szCs w:val="20"/>
        </w:rPr>
        <w:t>for the extreme coverage cases</w:t>
      </w:r>
      <w:r w:rsidR="00150444" w:rsidRPr="0006015B">
        <w:rPr>
          <w:rFonts w:ascii="Times New Roman" w:hAnsi="Times New Roman" w:hint="eastAsia"/>
          <w:sz w:val="20"/>
          <w:szCs w:val="20"/>
        </w:rPr>
        <w:t xml:space="preserve">, </w:t>
      </w:r>
      <w:r w:rsidR="0020620F" w:rsidRPr="0006015B">
        <w:rPr>
          <w:rFonts w:ascii="Times New Roman" w:hAnsi="Times New Roman" w:hint="eastAsia"/>
          <w:sz w:val="20"/>
          <w:szCs w:val="20"/>
        </w:rPr>
        <w:t xml:space="preserve">repetition is needed for the </w:t>
      </w:r>
      <w:r w:rsidR="00150444" w:rsidRPr="0006015B">
        <w:rPr>
          <w:rFonts w:ascii="Times New Roman" w:hAnsi="Times New Roman" w:hint="eastAsia"/>
          <w:sz w:val="20"/>
          <w:szCs w:val="20"/>
        </w:rPr>
        <w:t>payload data</w:t>
      </w:r>
      <w:r w:rsidR="0020620F" w:rsidRPr="0006015B">
        <w:rPr>
          <w:rFonts w:ascii="Times New Roman" w:hAnsi="Times New Roman" w:hint="eastAsia"/>
          <w:sz w:val="20"/>
          <w:szCs w:val="20"/>
        </w:rPr>
        <w:t xml:space="preserve"> to reach </w:t>
      </w:r>
      <w:r w:rsidR="0020620F" w:rsidRPr="0006015B">
        <w:rPr>
          <w:rFonts w:ascii="Times New Roman" w:hAnsi="Times New Roman"/>
          <w:sz w:val="20"/>
          <w:szCs w:val="20"/>
        </w:rPr>
        <w:t>the</w:t>
      </w:r>
      <w:r w:rsidR="0020620F" w:rsidRPr="0006015B">
        <w:rPr>
          <w:rFonts w:ascii="Times New Roman" w:hAnsi="Times New Roman" w:hint="eastAsia"/>
          <w:sz w:val="20"/>
          <w:szCs w:val="20"/>
        </w:rPr>
        <w:t xml:space="preserve"> low operating point</w:t>
      </w:r>
      <w:r w:rsidR="00150444" w:rsidRPr="0006015B">
        <w:rPr>
          <w:rFonts w:ascii="Times New Roman" w:hAnsi="Times New Roman" w:hint="eastAsia"/>
          <w:sz w:val="20"/>
          <w:szCs w:val="20"/>
        </w:rPr>
        <w:t xml:space="preserve">, and then the overhead of preamble is relatively </w:t>
      </w:r>
      <w:r w:rsidR="0020620F" w:rsidRPr="0006015B">
        <w:rPr>
          <w:rFonts w:ascii="Times New Roman" w:hAnsi="Times New Roman"/>
          <w:sz w:val="20"/>
          <w:szCs w:val="20"/>
        </w:rPr>
        <w:t>reduced.</w:t>
      </w:r>
      <w:r w:rsidR="00150444" w:rsidRPr="0006015B">
        <w:rPr>
          <w:rFonts w:ascii="Times New Roman" w:hAnsi="Times New Roman" w:hint="eastAsia"/>
          <w:sz w:val="20"/>
          <w:szCs w:val="20"/>
        </w:rPr>
        <w:t xml:space="preserve"> </w:t>
      </w:r>
      <w:r w:rsidR="00F91890" w:rsidRPr="0006015B">
        <w:rPr>
          <w:rFonts w:ascii="Times New Roman" w:hAnsi="Times New Roman" w:hint="eastAsia"/>
          <w:sz w:val="20"/>
          <w:szCs w:val="20"/>
        </w:rPr>
        <w:t xml:space="preserve"> </w:t>
      </w:r>
      <w:r w:rsidR="000C67B9" w:rsidRPr="0006015B">
        <w:rPr>
          <w:rFonts w:ascii="Times New Roman" w:hAnsi="Times New Roman" w:hint="eastAsia"/>
          <w:sz w:val="20"/>
          <w:szCs w:val="20"/>
        </w:rPr>
        <w:t xml:space="preserve">Furthermore, some parts of the advanced receiver designs employed in payload-only solution with spreading can also be applied to preamble-based </w:t>
      </w:r>
      <w:r w:rsidR="000C67B9" w:rsidRPr="0006015B">
        <w:rPr>
          <w:rFonts w:ascii="Times New Roman" w:hAnsi="Times New Roman"/>
          <w:sz w:val="20"/>
          <w:szCs w:val="20"/>
        </w:rPr>
        <w:t>solutions</w:t>
      </w:r>
      <w:r w:rsidR="00460131" w:rsidRPr="0006015B">
        <w:rPr>
          <w:rFonts w:ascii="Times New Roman" w:hAnsi="Times New Roman" w:hint="eastAsia"/>
          <w:sz w:val="20"/>
          <w:szCs w:val="20"/>
        </w:rPr>
        <w:t>.</w:t>
      </w:r>
    </w:p>
    <w:p w:rsidR="005B2C75" w:rsidRDefault="005B2C75" w:rsidP="005B2C75">
      <w:pPr>
        <w:spacing w:before="60" w:after="60" w:line="240" w:lineRule="auto"/>
        <w:rPr>
          <w:rFonts w:ascii="Times New Roman" w:hAnsi="Times New Roman"/>
          <w:sz w:val="20"/>
        </w:rPr>
      </w:pPr>
    </w:p>
    <w:p w:rsidR="00FD54C5" w:rsidRPr="002B170C" w:rsidRDefault="00FD54C5" w:rsidP="00FD54C5">
      <w:pPr>
        <w:jc w:val="both"/>
        <w:rPr>
          <w:rFonts w:ascii="Times New Roman" w:hAnsi="Times New Roman"/>
          <w:b/>
          <w:i/>
          <w:sz w:val="20"/>
          <w:szCs w:val="20"/>
          <w:lang w:val="en-GB"/>
        </w:rPr>
      </w:pPr>
      <w:r w:rsidRPr="002B170C">
        <w:rPr>
          <w:rFonts w:ascii="Times New Roman" w:hAnsi="Times New Roman" w:hint="eastAsia"/>
          <w:b/>
          <w:i/>
          <w:sz w:val="20"/>
          <w:szCs w:val="20"/>
          <w:lang w:val="en-GB"/>
        </w:rPr>
        <w:lastRenderedPageBreak/>
        <w:t>Proposal</w:t>
      </w:r>
      <w:r w:rsidR="0006015B">
        <w:rPr>
          <w:rFonts w:ascii="Times New Roman" w:hAnsi="Times New Roman" w:hint="eastAsia"/>
          <w:b/>
          <w:i/>
          <w:sz w:val="20"/>
          <w:szCs w:val="20"/>
          <w:lang w:val="en-GB"/>
        </w:rPr>
        <w:t xml:space="preserve"> 1</w:t>
      </w:r>
      <w:r w:rsidRPr="002B170C">
        <w:rPr>
          <w:rFonts w:ascii="Times New Roman" w:hAnsi="Times New Roman" w:hint="eastAsia"/>
          <w:b/>
          <w:i/>
          <w:sz w:val="20"/>
          <w:szCs w:val="20"/>
          <w:lang w:val="en-GB"/>
        </w:rPr>
        <w:t>:</w:t>
      </w:r>
      <w:r>
        <w:rPr>
          <w:rFonts w:ascii="Times New Roman" w:hAnsi="Times New Roman" w:hint="eastAsia"/>
          <w:b/>
          <w:i/>
          <w:sz w:val="20"/>
          <w:szCs w:val="20"/>
          <w:lang w:val="en-GB"/>
        </w:rPr>
        <w:t xml:space="preserve"> </w:t>
      </w:r>
      <w:r w:rsidRPr="002B170C">
        <w:rPr>
          <w:rFonts w:ascii="Times New Roman" w:hAnsi="Times New Roman" w:hint="eastAsia"/>
          <w:b/>
          <w:i/>
          <w:sz w:val="20"/>
          <w:szCs w:val="20"/>
          <w:lang w:val="en-GB"/>
        </w:rPr>
        <w:t>The non-</w:t>
      </w:r>
      <w:r w:rsidRPr="002B170C">
        <w:rPr>
          <w:rFonts w:ascii="Times New Roman" w:hAnsi="Times New Roman"/>
          <w:b/>
          <w:i/>
          <w:sz w:val="20"/>
          <w:szCs w:val="20"/>
          <w:lang w:val="en-GB"/>
        </w:rPr>
        <w:t>orthogonal</w:t>
      </w:r>
      <w:r w:rsidRPr="002B170C">
        <w:rPr>
          <w:rFonts w:ascii="Times New Roman" w:hAnsi="Times New Roman" w:hint="eastAsia"/>
          <w:b/>
          <w:i/>
          <w:sz w:val="20"/>
          <w:szCs w:val="20"/>
          <w:lang w:val="en-GB"/>
        </w:rPr>
        <w:t xml:space="preserve"> access scheme should be considered</w:t>
      </w:r>
      <w:r>
        <w:rPr>
          <w:rFonts w:ascii="Times New Roman" w:hAnsi="Times New Roman" w:hint="eastAsia"/>
          <w:b/>
          <w:i/>
          <w:sz w:val="20"/>
          <w:szCs w:val="20"/>
          <w:lang w:val="en-GB"/>
        </w:rPr>
        <w:t xml:space="preserve"> and further studied</w:t>
      </w:r>
      <w:r w:rsidRPr="002B170C">
        <w:rPr>
          <w:rFonts w:ascii="Times New Roman" w:hAnsi="Times New Roman" w:hint="eastAsia"/>
          <w:b/>
          <w:i/>
          <w:sz w:val="20"/>
          <w:szCs w:val="20"/>
          <w:lang w:val="en-GB"/>
        </w:rPr>
        <w:t xml:space="preserve"> in the 2-step RACH evaluation. </w:t>
      </w:r>
    </w:p>
    <w:p w:rsidR="002B170C" w:rsidRPr="002B170C" w:rsidRDefault="002B170C" w:rsidP="00D41CD8">
      <w:pPr>
        <w:jc w:val="both"/>
        <w:rPr>
          <w:rFonts w:ascii="Times New Roman" w:hAnsi="Times New Roman"/>
          <w:b/>
          <w:i/>
          <w:sz w:val="20"/>
          <w:szCs w:val="20"/>
          <w:lang w:val="en-GB"/>
        </w:rPr>
      </w:pPr>
    </w:p>
    <w:p w:rsidR="003F384D" w:rsidRPr="00604D8B" w:rsidRDefault="000B67E5" w:rsidP="003F384D">
      <w:pPr>
        <w:pStyle w:val="Heading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lang w:val="en-US"/>
        </w:rPr>
      </w:pPr>
      <w:r>
        <w:rPr>
          <w:sz w:val="36"/>
          <w:szCs w:val="36"/>
          <w:lang w:val="en-US"/>
        </w:rPr>
        <w:t>Conclusion</w:t>
      </w:r>
    </w:p>
    <w:p w:rsidR="002B170C" w:rsidRDefault="004E4141" w:rsidP="00D41CD8">
      <w:pPr>
        <w:jc w:val="both"/>
        <w:rPr>
          <w:rFonts w:ascii="Times New Roman" w:hAnsi="Times New Roman"/>
          <w:sz w:val="20"/>
          <w:szCs w:val="20"/>
        </w:rPr>
      </w:pPr>
      <w:r w:rsidRPr="00D41CD8">
        <w:rPr>
          <w:rFonts w:ascii="Times New Roman" w:hAnsi="Times New Roman"/>
          <w:sz w:val="20"/>
          <w:szCs w:val="20"/>
        </w:rPr>
        <w:t>I</w:t>
      </w:r>
      <w:r w:rsidRPr="00D41CD8">
        <w:rPr>
          <w:rFonts w:ascii="Times New Roman" w:hAnsi="Times New Roman" w:hint="eastAsia"/>
          <w:sz w:val="20"/>
          <w:szCs w:val="20"/>
        </w:rPr>
        <w:t xml:space="preserve">n this contribution, </w:t>
      </w:r>
      <w:r w:rsidR="000B67E5" w:rsidRPr="00D41CD8">
        <w:rPr>
          <w:rFonts w:ascii="Times New Roman" w:hAnsi="Times New Roman" w:hint="eastAsia"/>
          <w:sz w:val="20"/>
          <w:szCs w:val="20"/>
        </w:rPr>
        <w:t xml:space="preserve">we </w:t>
      </w:r>
      <w:r w:rsidR="000B67E5" w:rsidRPr="00D41CD8">
        <w:rPr>
          <w:rFonts w:ascii="Times New Roman" w:hAnsi="Times New Roman"/>
          <w:sz w:val="20"/>
          <w:szCs w:val="20"/>
        </w:rPr>
        <w:t>compared</w:t>
      </w:r>
      <w:r w:rsidR="00476369" w:rsidRPr="00D41CD8">
        <w:rPr>
          <w:rFonts w:ascii="Times New Roman" w:hAnsi="Times New Roman" w:hint="eastAsia"/>
          <w:sz w:val="20"/>
          <w:szCs w:val="20"/>
        </w:rPr>
        <w:t xml:space="preserve"> </w:t>
      </w:r>
      <w:r w:rsidR="00476369" w:rsidRPr="00D41CD8">
        <w:rPr>
          <w:rFonts w:ascii="Times New Roman" w:hAnsi="Times New Roman"/>
          <w:sz w:val="20"/>
          <w:szCs w:val="20"/>
        </w:rPr>
        <w:t xml:space="preserve">a few potential </w:t>
      </w:r>
      <w:r w:rsidR="000B67E5" w:rsidRPr="00D41CD8">
        <w:rPr>
          <w:rFonts w:ascii="Times New Roman" w:hAnsi="Times New Roman"/>
          <w:sz w:val="20"/>
          <w:szCs w:val="20"/>
        </w:rPr>
        <w:t>schemes</w:t>
      </w:r>
      <w:r w:rsidRPr="00D41CD8">
        <w:rPr>
          <w:rFonts w:ascii="Times New Roman" w:hAnsi="Times New Roman" w:hint="eastAsia"/>
          <w:sz w:val="20"/>
          <w:szCs w:val="20"/>
        </w:rPr>
        <w:t xml:space="preserve"> of Msg1 in 2-step RACH</w:t>
      </w:r>
      <w:r w:rsidR="000B67E5" w:rsidRPr="00D41CD8">
        <w:rPr>
          <w:rFonts w:ascii="Times New Roman" w:hAnsi="Times New Roman"/>
          <w:sz w:val="20"/>
          <w:szCs w:val="20"/>
        </w:rPr>
        <w:t>.</w:t>
      </w:r>
      <w:r w:rsidRPr="00D41CD8">
        <w:rPr>
          <w:rFonts w:ascii="Times New Roman" w:hAnsi="Times New Roman" w:hint="eastAsia"/>
          <w:sz w:val="20"/>
          <w:szCs w:val="20"/>
        </w:rPr>
        <w:t xml:space="preserve"> </w:t>
      </w:r>
      <w:r w:rsidR="002B170C" w:rsidRPr="002B170C">
        <w:rPr>
          <w:rFonts w:ascii="Times New Roman" w:hAnsi="Times New Roman"/>
          <w:sz w:val="20"/>
          <w:szCs w:val="20"/>
        </w:rPr>
        <w:t xml:space="preserve">Some observations and </w:t>
      </w:r>
      <w:r w:rsidR="002B170C" w:rsidRPr="002B170C">
        <w:rPr>
          <w:rFonts w:ascii="Times New Roman" w:hAnsi="Times New Roman" w:hint="eastAsia"/>
          <w:sz w:val="20"/>
          <w:szCs w:val="20"/>
        </w:rPr>
        <w:t>proposal based on the analysis are listed as below</w:t>
      </w:r>
      <w:r w:rsidR="002B170C" w:rsidRPr="002B170C">
        <w:rPr>
          <w:rFonts w:ascii="Times New Roman" w:hAnsi="Times New Roman"/>
          <w:sz w:val="20"/>
          <w:szCs w:val="20"/>
        </w:rPr>
        <w:t>:</w:t>
      </w:r>
    </w:p>
    <w:p w:rsidR="008C0ADD" w:rsidRPr="00965D3E" w:rsidRDefault="008C0ADD" w:rsidP="008C0ADD">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965D3E">
        <w:rPr>
          <w:rFonts w:ascii="Times New Roman" w:hAnsi="Times New Roman" w:hint="eastAsia"/>
          <w:b/>
          <w:i/>
          <w:sz w:val="20"/>
          <w:szCs w:val="20"/>
          <w:lang w:val="en-GB"/>
        </w:rPr>
        <w:t>Observation</w:t>
      </w:r>
      <w:r>
        <w:rPr>
          <w:rFonts w:ascii="Times New Roman" w:hAnsi="Times New Roman" w:hint="eastAsia"/>
          <w:b/>
          <w:i/>
          <w:sz w:val="20"/>
          <w:szCs w:val="20"/>
          <w:lang w:val="en-GB"/>
        </w:rPr>
        <w:t>s 1</w:t>
      </w:r>
      <w:r w:rsidRPr="00965D3E">
        <w:rPr>
          <w:rFonts w:ascii="Times New Roman" w:hAnsi="Times New Roman" w:hint="eastAsia"/>
          <w:b/>
          <w:i/>
          <w:sz w:val="20"/>
          <w:szCs w:val="20"/>
          <w:lang w:val="en-GB"/>
        </w:rPr>
        <w:t xml:space="preserve">: If 2-step RACH used for UL synchronization, the TA measurement </w:t>
      </w:r>
      <w:r w:rsidRPr="00965D3E">
        <w:rPr>
          <w:rFonts w:ascii="Times New Roman" w:hAnsi="Times New Roman"/>
          <w:b/>
          <w:i/>
          <w:sz w:val="20"/>
          <w:szCs w:val="20"/>
          <w:lang w:val="en-GB"/>
        </w:rPr>
        <w:t>accuracy</w:t>
      </w:r>
      <w:r w:rsidRPr="00965D3E">
        <w:rPr>
          <w:rFonts w:ascii="Times New Roman" w:hAnsi="Times New Roman" w:hint="eastAsia"/>
          <w:b/>
          <w:i/>
          <w:sz w:val="20"/>
          <w:szCs w:val="20"/>
          <w:lang w:val="en-GB"/>
        </w:rPr>
        <w:t xml:space="preserve"> should </w:t>
      </w:r>
      <w:r w:rsidRPr="00965D3E">
        <w:rPr>
          <w:rFonts w:ascii="Times New Roman" w:hAnsi="Times New Roman"/>
          <w:b/>
          <w:i/>
          <w:sz w:val="20"/>
          <w:szCs w:val="20"/>
          <w:lang w:val="en-GB"/>
        </w:rPr>
        <w:t>fulfil</w:t>
      </w:r>
      <w:r w:rsidRPr="00965D3E">
        <w:rPr>
          <w:rFonts w:ascii="Times New Roman" w:hAnsi="Times New Roman" w:hint="eastAsia"/>
          <w:b/>
          <w:i/>
          <w:sz w:val="20"/>
          <w:szCs w:val="20"/>
          <w:lang w:val="en-GB"/>
        </w:rPr>
        <w:t xml:space="preserve"> different scenarios.</w:t>
      </w:r>
    </w:p>
    <w:p w:rsidR="008C0ADD" w:rsidRPr="00965D3E" w:rsidRDefault="008C0ADD" w:rsidP="008C0ADD">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965D3E">
        <w:rPr>
          <w:rFonts w:ascii="Times New Roman" w:hAnsi="Times New Roman" w:hint="eastAsia"/>
          <w:b/>
          <w:i/>
          <w:sz w:val="20"/>
          <w:szCs w:val="20"/>
          <w:lang w:val="en-GB"/>
        </w:rPr>
        <w:t>Observations</w:t>
      </w:r>
      <w:r>
        <w:rPr>
          <w:rFonts w:ascii="Times New Roman" w:hAnsi="Times New Roman" w:hint="eastAsia"/>
          <w:b/>
          <w:i/>
          <w:sz w:val="20"/>
          <w:szCs w:val="20"/>
          <w:lang w:val="en-GB"/>
        </w:rPr>
        <w:t xml:space="preserve"> 2:</w:t>
      </w:r>
      <w:r w:rsidRPr="00965D3E">
        <w:rPr>
          <w:rFonts w:ascii="Times New Roman" w:hAnsi="Times New Roman" w:hint="eastAsia"/>
          <w:b/>
          <w:i/>
          <w:sz w:val="20"/>
          <w:szCs w:val="20"/>
          <w:lang w:val="en-GB"/>
        </w:rPr>
        <w:t xml:space="preserve"> </w:t>
      </w:r>
      <w:r w:rsidRPr="00965D3E">
        <w:rPr>
          <w:rFonts w:ascii="Times New Roman" w:hAnsi="Times New Roman"/>
          <w:b/>
          <w:i/>
          <w:sz w:val="20"/>
          <w:szCs w:val="20"/>
          <w:lang w:val="en-GB"/>
        </w:rPr>
        <w:t>Further study is needed on w</w:t>
      </w:r>
      <w:r w:rsidRPr="00965D3E">
        <w:rPr>
          <w:rFonts w:ascii="Times New Roman" w:hAnsi="Times New Roman" w:hint="eastAsia"/>
          <w:b/>
          <w:i/>
          <w:sz w:val="20"/>
          <w:szCs w:val="20"/>
          <w:lang w:val="en-GB"/>
        </w:rPr>
        <w:t>hether the detection rate</w:t>
      </w:r>
      <w:r w:rsidRPr="00965D3E">
        <w:rPr>
          <w:rFonts w:ascii="Times New Roman" w:hAnsi="Times New Roman"/>
          <w:b/>
          <w:i/>
          <w:sz w:val="20"/>
          <w:szCs w:val="20"/>
          <w:lang w:val="en-GB"/>
        </w:rPr>
        <w:t>s</w:t>
      </w:r>
      <w:r w:rsidRPr="00965D3E">
        <w:rPr>
          <w:rFonts w:ascii="Times New Roman" w:hAnsi="Times New Roman" w:hint="eastAsia"/>
          <w:b/>
          <w:i/>
          <w:sz w:val="20"/>
          <w:szCs w:val="20"/>
          <w:lang w:val="en-GB"/>
        </w:rPr>
        <w:t xml:space="preserve"> </w:t>
      </w:r>
      <w:r w:rsidRPr="00965D3E">
        <w:rPr>
          <w:rFonts w:ascii="Times New Roman" w:hAnsi="Times New Roman"/>
          <w:b/>
          <w:i/>
          <w:sz w:val="20"/>
          <w:szCs w:val="20"/>
          <w:lang w:val="en-GB"/>
        </w:rPr>
        <w:t>of</w:t>
      </w:r>
      <w:r w:rsidRPr="00965D3E">
        <w:rPr>
          <w:rFonts w:ascii="Times New Roman" w:hAnsi="Times New Roman" w:hint="eastAsia"/>
          <w:b/>
          <w:i/>
          <w:sz w:val="20"/>
          <w:szCs w:val="20"/>
          <w:lang w:val="en-GB"/>
        </w:rPr>
        <w:t xml:space="preserve"> the preamble and payload </w:t>
      </w:r>
      <w:r w:rsidRPr="00965D3E">
        <w:rPr>
          <w:rFonts w:ascii="Times New Roman" w:hAnsi="Times New Roman"/>
          <w:b/>
          <w:i/>
          <w:sz w:val="20"/>
          <w:szCs w:val="20"/>
          <w:lang w:val="en-GB"/>
        </w:rPr>
        <w:t>should be comparable.</w:t>
      </w:r>
    </w:p>
    <w:p w:rsidR="00777C85" w:rsidRPr="00777C85" w:rsidRDefault="00777C85" w:rsidP="00777C85">
      <w:pPr>
        <w:rPr>
          <w:lang w:val="en-GB"/>
        </w:rPr>
      </w:pPr>
      <w:r>
        <w:rPr>
          <w:rFonts w:ascii="Times New Roman" w:hAnsi="Times New Roman" w:hint="eastAsia"/>
          <w:b/>
          <w:i/>
          <w:sz w:val="20"/>
          <w:szCs w:val="20"/>
          <w:lang w:val="en-GB"/>
        </w:rPr>
        <w:t xml:space="preserve">Observation </w:t>
      </w:r>
      <w:r w:rsidR="008F7EB0">
        <w:rPr>
          <w:rFonts w:ascii="Times New Roman" w:hAnsi="Times New Roman" w:hint="eastAsia"/>
          <w:b/>
          <w:i/>
          <w:sz w:val="20"/>
          <w:szCs w:val="20"/>
          <w:lang w:val="en-GB"/>
        </w:rPr>
        <w:t>3</w:t>
      </w:r>
      <w:r>
        <w:rPr>
          <w:rFonts w:ascii="Times New Roman" w:hAnsi="Times New Roman" w:hint="eastAsia"/>
          <w:b/>
          <w:i/>
          <w:sz w:val="20"/>
          <w:szCs w:val="20"/>
          <w:lang w:val="en-GB"/>
        </w:rPr>
        <w:t>: The target SNR and cell radius supported by 2-RACH payload should be studied.</w:t>
      </w:r>
    </w:p>
    <w:p w:rsidR="002B170C" w:rsidRPr="002B170C" w:rsidRDefault="002B170C" w:rsidP="002B170C">
      <w:pPr>
        <w:jc w:val="both"/>
        <w:rPr>
          <w:rFonts w:ascii="Times New Roman" w:hAnsi="Times New Roman"/>
          <w:b/>
          <w:i/>
          <w:sz w:val="20"/>
          <w:szCs w:val="20"/>
          <w:lang w:val="en-GB"/>
        </w:rPr>
      </w:pPr>
      <w:r w:rsidRPr="002B170C">
        <w:rPr>
          <w:rFonts w:ascii="Times New Roman" w:hAnsi="Times New Roman" w:hint="eastAsia"/>
          <w:b/>
          <w:i/>
          <w:sz w:val="20"/>
          <w:szCs w:val="20"/>
          <w:lang w:val="en-GB"/>
        </w:rPr>
        <w:t>Proposal</w:t>
      </w:r>
      <w:r w:rsidR="0006015B">
        <w:rPr>
          <w:rFonts w:ascii="Times New Roman" w:hAnsi="Times New Roman" w:hint="eastAsia"/>
          <w:b/>
          <w:i/>
          <w:sz w:val="20"/>
          <w:szCs w:val="20"/>
          <w:lang w:val="en-GB"/>
        </w:rPr>
        <w:t xml:space="preserve"> 1</w:t>
      </w:r>
      <w:r w:rsidRPr="002B170C">
        <w:rPr>
          <w:rFonts w:ascii="Times New Roman" w:hAnsi="Times New Roman" w:hint="eastAsia"/>
          <w:b/>
          <w:i/>
          <w:sz w:val="20"/>
          <w:szCs w:val="20"/>
          <w:lang w:val="en-GB"/>
        </w:rPr>
        <w:t>:</w:t>
      </w:r>
      <w:r>
        <w:rPr>
          <w:rFonts w:ascii="Times New Roman" w:hAnsi="Times New Roman" w:hint="eastAsia"/>
          <w:b/>
          <w:i/>
          <w:sz w:val="20"/>
          <w:szCs w:val="20"/>
          <w:lang w:val="en-GB"/>
        </w:rPr>
        <w:t xml:space="preserve"> </w:t>
      </w:r>
      <w:r w:rsidRPr="002B170C">
        <w:rPr>
          <w:rFonts w:ascii="Times New Roman" w:hAnsi="Times New Roman" w:hint="eastAsia"/>
          <w:b/>
          <w:i/>
          <w:sz w:val="20"/>
          <w:szCs w:val="20"/>
          <w:lang w:val="en-GB"/>
        </w:rPr>
        <w:t>The non-</w:t>
      </w:r>
      <w:r w:rsidRPr="002B170C">
        <w:rPr>
          <w:rFonts w:ascii="Times New Roman" w:hAnsi="Times New Roman"/>
          <w:b/>
          <w:i/>
          <w:sz w:val="20"/>
          <w:szCs w:val="20"/>
          <w:lang w:val="en-GB"/>
        </w:rPr>
        <w:t>orthogonal</w:t>
      </w:r>
      <w:r w:rsidRPr="002B170C">
        <w:rPr>
          <w:rFonts w:ascii="Times New Roman" w:hAnsi="Times New Roman" w:hint="eastAsia"/>
          <w:b/>
          <w:i/>
          <w:sz w:val="20"/>
          <w:szCs w:val="20"/>
          <w:lang w:val="en-GB"/>
        </w:rPr>
        <w:t xml:space="preserve"> access scheme should be considered</w:t>
      </w:r>
      <w:r w:rsidR="00882B19">
        <w:rPr>
          <w:rFonts w:ascii="Times New Roman" w:hAnsi="Times New Roman" w:hint="eastAsia"/>
          <w:b/>
          <w:i/>
          <w:sz w:val="20"/>
          <w:szCs w:val="20"/>
          <w:lang w:val="en-GB"/>
        </w:rPr>
        <w:t xml:space="preserve"> and further studied</w:t>
      </w:r>
      <w:r w:rsidRPr="002B170C">
        <w:rPr>
          <w:rFonts w:ascii="Times New Roman" w:hAnsi="Times New Roman" w:hint="eastAsia"/>
          <w:b/>
          <w:i/>
          <w:sz w:val="20"/>
          <w:szCs w:val="20"/>
          <w:lang w:val="en-GB"/>
        </w:rPr>
        <w:t xml:space="preserve"> in the 2-step RACH evaluation. </w:t>
      </w:r>
    </w:p>
    <w:p w:rsidR="00DD0C31" w:rsidRDefault="00DD0C31" w:rsidP="00C030CA">
      <w:pPr>
        <w:pStyle w:val="BodyText"/>
        <w:spacing w:beforeLines="50"/>
        <w:ind w:firstLine="180"/>
        <w:rPr>
          <w:color w:val="auto"/>
          <w:sz w:val="20"/>
        </w:rPr>
      </w:pPr>
    </w:p>
    <w:p w:rsidR="00DD0C31" w:rsidRDefault="004E4141" w:rsidP="00C030CA">
      <w:pPr>
        <w:pStyle w:val="Heading1"/>
        <w:numPr>
          <w:ilvl w:val="0"/>
          <w:numId w:val="0"/>
        </w:numPr>
        <w:snapToGrid w:val="0"/>
        <w:spacing w:afterLines="50"/>
        <w:rPr>
          <w:rFonts w:cs="Arial"/>
          <w:b w:val="0"/>
          <w:lang w:val="en-US"/>
        </w:rPr>
      </w:pPr>
      <w:r w:rsidRPr="006A1E61">
        <w:rPr>
          <w:rFonts w:cs="Arial"/>
          <w:lang w:val="en-US"/>
        </w:rPr>
        <w:t>References</w:t>
      </w:r>
    </w:p>
    <w:p w:rsidR="007F6635" w:rsidRPr="007F6635" w:rsidRDefault="007F6635" w:rsidP="004E4141">
      <w:pPr>
        <w:widowControl w:val="0"/>
        <w:numPr>
          <w:ilvl w:val="0"/>
          <w:numId w:val="1"/>
        </w:numPr>
        <w:snapToGrid w:val="0"/>
        <w:spacing w:after="0" w:line="320" w:lineRule="exact"/>
        <w:ind w:left="418" w:hanging="418"/>
        <w:jc w:val="both"/>
        <w:rPr>
          <w:rFonts w:ascii="Times New Roman" w:eastAsia="MS Gothic" w:hAnsi="Times New Roman"/>
          <w:sz w:val="20"/>
          <w:szCs w:val="20"/>
        </w:rPr>
      </w:pPr>
      <w:bookmarkStart w:id="11" w:name="_Ref470390876"/>
      <w:r>
        <w:rPr>
          <w:rFonts w:ascii="Times New Roman" w:hAnsi="Times New Roman" w:hint="eastAsia"/>
          <w:sz w:val="20"/>
          <w:szCs w:val="20"/>
        </w:rPr>
        <w:t>3GPP, R2-1700352</w:t>
      </w:r>
      <w:r w:rsidR="001C5FD0" w:rsidRPr="001C5FD0">
        <w:rPr>
          <w:rFonts w:ascii="Times New Roman" w:eastAsia="MS Gothic" w:hAnsi="Times New Roman"/>
          <w:sz w:val="20"/>
          <w:szCs w:val="20"/>
        </w:rPr>
        <w:t xml:space="preserve"> TP on performance evaluation for NR,</w:t>
      </w:r>
      <w:r w:rsidRPr="007F6635">
        <w:rPr>
          <w:rFonts w:ascii="Times New Roman" w:eastAsia="MS Gothic" w:hAnsi="Times New Roman"/>
          <w:sz w:val="20"/>
          <w:szCs w:val="20"/>
        </w:rPr>
        <w:t xml:space="preserve"> </w:t>
      </w:r>
      <w:r w:rsidRPr="004E4141">
        <w:rPr>
          <w:rFonts w:ascii="Times New Roman" w:eastAsia="MS Gothic" w:hAnsi="Times New Roman"/>
          <w:sz w:val="20"/>
          <w:szCs w:val="20"/>
        </w:rPr>
        <w:t>ZTE, ZTE Microelectronics</w:t>
      </w:r>
      <w:r w:rsidRPr="004E4141">
        <w:rPr>
          <w:rFonts w:ascii="Times New Roman" w:hAnsi="Times New Roman"/>
          <w:sz w:val="20"/>
          <w:szCs w:val="20"/>
        </w:rPr>
        <w:t>,</w:t>
      </w:r>
      <w:r w:rsidR="009F6D77">
        <w:rPr>
          <w:rFonts w:ascii="Times New Roman" w:hAnsi="Times New Roman" w:hint="eastAsia"/>
          <w:sz w:val="20"/>
          <w:szCs w:val="20"/>
        </w:rPr>
        <w:t xml:space="preserve"> RAN2 NR </w:t>
      </w:r>
      <w:proofErr w:type="spellStart"/>
      <w:r w:rsidR="009F6D77">
        <w:rPr>
          <w:rFonts w:ascii="Times New Roman" w:hAnsi="Times New Roman" w:hint="eastAsia"/>
          <w:sz w:val="20"/>
          <w:szCs w:val="20"/>
        </w:rPr>
        <w:t>Adhoc</w:t>
      </w:r>
      <w:proofErr w:type="spellEnd"/>
    </w:p>
    <w:p w:rsidR="004E4141" w:rsidRPr="004E4141" w:rsidRDefault="004E4141" w:rsidP="004E4141">
      <w:pPr>
        <w:widowControl w:val="0"/>
        <w:numPr>
          <w:ilvl w:val="0"/>
          <w:numId w:val="1"/>
        </w:numPr>
        <w:snapToGrid w:val="0"/>
        <w:spacing w:after="0" w:line="320" w:lineRule="exact"/>
        <w:ind w:left="418" w:hanging="418"/>
        <w:jc w:val="both"/>
        <w:rPr>
          <w:rFonts w:ascii="Times New Roman" w:eastAsia="MS Gothic" w:hAnsi="Times New Roman"/>
          <w:sz w:val="20"/>
          <w:szCs w:val="20"/>
        </w:rPr>
      </w:pPr>
      <w:r>
        <w:rPr>
          <w:rFonts w:ascii="Times New Roman" w:eastAsia="MS Gothic" w:hAnsi="Times New Roman"/>
          <w:sz w:val="20"/>
          <w:szCs w:val="20"/>
        </w:rPr>
        <w:t xml:space="preserve">3GPP, R1-1611724 </w:t>
      </w:r>
      <w:r w:rsidR="00702637" w:rsidRPr="00702637">
        <w:rPr>
          <w:rFonts w:ascii="Times New Roman" w:eastAsia="MS Gothic" w:hAnsi="Times New Roman"/>
          <w:sz w:val="20"/>
          <w:szCs w:val="20"/>
        </w:rPr>
        <w:t xml:space="preserve">On 2-step </w:t>
      </w:r>
      <w:r w:rsidR="00702637" w:rsidRPr="00702637">
        <w:rPr>
          <w:rFonts w:ascii="Times New Roman" w:eastAsia="MS Gothic" w:hAnsi="Times New Roman" w:hint="eastAsia"/>
          <w:sz w:val="20"/>
          <w:szCs w:val="20"/>
        </w:rPr>
        <w:t>Random access procedure</w:t>
      </w:r>
      <w:r w:rsidR="007D1D54">
        <w:rPr>
          <w:rFonts w:ascii="Times New Roman" w:eastAsia="MS Gothic" w:hAnsi="Times New Roman"/>
          <w:sz w:val="20"/>
          <w:szCs w:val="20"/>
        </w:rPr>
        <w:t>,</w:t>
      </w:r>
      <w:r w:rsidR="00702637" w:rsidRPr="00702637">
        <w:rPr>
          <w:rFonts w:ascii="Times New Roman" w:eastAsia="MS Gothic" w:hAnsi="Times New Roman" w:hint="eastAsia"/>
          <w:sz w:val="20"/>
          <w:szCs w:val="20"/>
        </w:rPr>
        <w:t xml:space="preserve"> ZTE,</w:t>
      </w:r>
      <w:r w:rsidR="00702637" w:rsidRPr="00702637">
        <w:rPr>
          <w:rFonts w:ascii="Times New Roman" w:eastAsia="MS Gothic" w:hAnsi="Times New Roman"/>
          <w:sz w:val="20"/>
          <w:szCs w:val="20"/>
        </w:rPr>
        <w:t xml:space="preserve"> </w:t>
      </w:r>
      <w:r w:rsidR="00702637" w:rsidRPr="004E4141">
        <w:rPr>
          <w:rFonts w:ascii="Times New Roman" w:eastAsia="MS Gothic" w:hAnsi="Times New Roman"/>
          <w:sz w:val="20"/>
          <w:szCs w:val="20"/>
        </w:rPr>
        <w:t>ZTE Microelectronics</w:t>
      </w:r>
      <w:r w:rsidR="00702637" w:rsidRPr="004E4141">
        <w:rPr>
          <w:rFonts w:ascii="Times New Roman" w:hAnsi="Times New Roman"/>
          <w:sz w:val="20"/>
          <w:szCs w:val="20"/>
        </w:rPr>
        <w:t>, RAN1#8</w:t>
      </w:r>
      <w:r w:rsidR="00702637">
        <w:rPr>
          <w:rFonts w:ascii="Times New Roman" w:hAnsi="Times New Roman" w:hint="eastAsia"/>
          <w:sz w:val="20"/>
          <w:szCs w:val="20"/>
        </w:rPr>
        <w:t>7</w:t>
      </w:r>
    </w:p>
    <w:p w:rsidR="004E4141" w:rsidRPr="006F2AAE" w:rsidRDefault="004E4141" w:rsidP="004E4141">
      <w:pPr>
        <w:widowControl w:val="0"/>
        <w:numPr>
          <w:ilvl w:val="0"/>
          <w:numId w:val="1"/>
        </w:numPr>
        <w:snapToGrid w:val="0"/>
        <w:spacing w:after="0" w:line="320" w:lineRule="exact"/>
        <w:ind w:left="418" w:hanging="418"/>
        <w:jc w:val="both"/>
        <w:rPr>
          <w:rFonts w:ascii="Times New Roman" w:eastAsia="MS Gothic" w:hAnsi="Times New Roman"/>
          <w:sz w:val="20"/>
          <w:szCs w:val="20"/>
        </w:rPr>
      </w:pPr>
      <w:r w:rsidRPr="004E4141">
        <w:rPr>
          <w:rFonts w:ascii="Times New Roman" w:hAnsi="Times New Roman"/>
          <w:sz w:val="20"/>
          <w:szCs w:val="20"/>
        </w:rPr>
        <w:t xml:space="preserve">3GPP, </w:t>
      </w:r>
      <w:r w:rsidRPr="004E4141">
        <w:rPr>
          <w:rFonts w:ascii="Times New Roman" w:eastAsia="MS Gothic" w:hAnsi="Times New Roman"/>
          <w:sz w:val="20"/>
          <w:szCs w:val="20"/>
        </w:rPr>
        <w:t>R1-16640</w:t>
      </w:r>
      <w:r w:rsidRPr="004E4141">
        <w:rPr>
          <w:rFonts w:ascii="Times New Roman" w:hAnsi="Times New Roman"/>
          <w:sz w:val="20"/>
          <w:szCs w:val="20"/>
        </w:rPr>
        <w:t>4</w:t>
      </w:r>
      <w:r w:rsidRPr="004E4141">
        <w:rPr>
          <w:rFonts w:ascii="Times New Roman" w:eastAsia="MS Gothic" w:hAnsi="Times New Roman"/>
          <w:sz w:val="20"/>
          <w:szCs w:val="20"/>
        </w:rPr>
        <w:t>,</w:t>
      </w:r>
      <w:r w:rsidRPr="004E4141">
        <w:rPr>
          <w:rFonts w:ascii="Times New Roman" w:hAnsi="Times New Roman"/>
          <w:sz w:val="20"/>
          <w:szCs w:val="20"/>
        </w:rPr>
        <w:t xml:space="preserve"> Receiver Details and Link Performance fo</w:t>
      </w:r>
      <w:r w:rsidR="005B2C75" w:rsidRPr="005B2C75">
        <w:rPr>
          <w:rFonts w:ascii="Times New Roman" w:eastAsia="MS Gothic" w:hAnsi="Times New Roman"/>
          <w:sz w:val="20"/>
          <w:szCs w:val="20"/>
        </w:rPr>
        <w:t>r MUSA</w:t>
      </w:r>
      <w:r w:rsidRPr="004E4141">
        <w:rPr>
          <w:rFonts w:ascii="Times New Roman" w:eastAsia="MS Gothic" w:hAnsi="Times New Roman"/>
          <w:sz w:val="20"/>
          <w:szCs w:val="20"/>
        </w:rPr>
        <w:t>, ZTE, ZTE Microelectronics</w:t>
      </w:r>
      <w:r w:rsidR="005B2C75" w:rsidRPr="005B2C75">
        <w:rPr>
          <w:rFonts w:ascii="Times New Roman" w:eastAsia="MS Gothic" w:hAnsi="Times New Roman"/>
          <w:sz w:val="20"/>
          <w:szCs w:val="20"/>
        </w:rPr>
        <w:t>, RAN1#86</w:t>
      </w:r>
      <w:bookmarkEnd w:id="11"/>
    </w:p>
    <w:p w:rsidR="006F2AAE" w:rsidRPr="006F2AAE" w:rsidRDefault="005B2C75" w:rsidP="006F2AAE">
      <w:pPr>
        <w:widowControl w:val="0"/>
        <w:numPr>
          <w:ilvl w:val="0"/>
          <w:numId w:val="1"/>
        </w:numPr>
        <w:snapToGrid w:val="0"/>
        <w:spacing w:after="0" w:line="320" w:lineRule="exact"/>
        <w:ind w:left="418" w:hanging="418"/>
        <w:jc w:val="both"/>
        <w:rPr>
          <w:rFonts w:ascii="Times New Roman" w:eastAsia="MS Gothic" w:hAnsi="Times New Roman"/>
          <w:sz w:val="20"/>
          <w:szCs w:val="20"/>
        </w:rPr>
      </w:pPr>
      <w:r w:rsidRPr="005B2C75">
        <w:rPr>
          <w:rFonts w:ascii="Times New Roman" w:eastAsia="MS Gothic" w:hAnsi="Times New Roman"/>
          <w:sz w:val="20"/>
          <w:szCs w:val="20"/>
        </w:rPr>
        <w:t xml:space="preserve">3GPP, </w:t>
      </w:r>
      <w:r w:rsidR="006F2AAE" w:rsidRPr="004E4141">
        <w:rPr>
          <w:rFonts w:ascii="Times New Roman" w:eastAsia="MS Gothic" w:hAnsi="Times New Roman"/>
          <w:sz w:val="20"/>
          <w:szCs w:val="20"/>
        </w:rPr>
        <w:t>R1-1</w:t>
      </w:r>
      <w:r w:rsidRPr="005B2C75">
        <w:rPr>
          <w:rFonts w:ascii="Times New Roman" w:eastAsia="MS Gothic" w:hAnsi="Times New Roman"/>
          <w:sz w:val="20"/>
          <w:szCs w:val="20"/>
        </w:rPr>
        <w:t>700105</w:t>
      </w:r>
      <w:r w:rsidR="006F2AAE" w:rsidRPr="004E4141">
        <w:rPr>
          <w:rFonts w:ascii="Times New Roman" w:eastAsia="MS Gothic" w:hAnsi="Times New Roman"/>
          <w:sz w:val="20"/>
          <w:szCs w:val="20"/>
        </w:rPr>
        <w:t>,</w:t>
      </w:r>
      <w:r w:rsidRPr="005B2C75">
        <w:rPr>
          <w:rFonts w:ascii="Times New Roman" w:eastAsia="MS Gothic" w:hAnsi="Times New Roman"/>
          <w:sz w:val="20"/>
          <w:szCs w:val="20"/>
        </w:rPr>
        <w:t xml:space="preserve"> 2-step Random Access Procedure</w:t>
      </w:r>
      <w:r w:rsidR="006F2AAE" w:rsidRPr="004E4141">
        <w:rPr>
          <w:rFonts w:ascii="Times New Roman" w:eastAsia="MS Gothic" w:hAnsi="Times New Roman"/>
          <w:sz w:val="20"/>
          <w:szCs w:val="20"/>
        </w:rPr>
        <w:t>,</w:t>
      </w:r>
      <w:r w:rsidR="006F2AAE" w:rsidRPr="007F6635">
        <w:rPr>
          <w:rFonts w:ascii="Times New Roman" w:eastAsia="MS Gothic" w:hAnsi="Times New Roman"/>
          <w:sz w:val="20"/>
          <w:szCs w:val="20"/>
        </w:rPr>
        <w:t xml:space="preserve"> </w:t>
      </w:r>
      <w:r w:rsidR="006F2AAE" w:rsidRPr="004E4141">
        <w:rPr>
          <w:rFonts w:ascii="Times New Roman" w:eastAsia="MS Gothic" w:hAnsi="Times New Roman"/>
          <w:sz w:val="20"/>
          <w:szCs w:val="20"/>
        </w:rPr>
        <w:t>ZTE, ZTE Microelectronics</w:t>
      </w:r>
      <w:r w:rsidR="006F2AAE" w:rsidRPr="004E4141">
        <w:rPr>
          <w:rFonts w:ascii="Times New Roman" w:hAnsi="Times New Roman"/>
          <w:sz w:val="20"/>
          <w:szCs w:val="20"/>
        </w:rPr>
        <w:t>,</w:t>
      </w:r>
      <w:r w:rsidR="006F2AAE">
        <w:rPr>
          <w:rFonts w:ascii="Times New Roman" w:hAnsi="Times New Roman" w:hint="eastAsia"/>
          <w:sz w:val="20"/>
          <w:szCs w:val="20"/>
        </w:rPr>
        <w:t xml:space="preserve"> RAN1 NR </w:t>
      </w:r>
      <w:proofErr w:type="spellStart"/>
      <w:r w:rsidR="006F2AAE">
        <w:rPr>
          <w:rFonts w:ascii="Times New Roman" w:hAnsi="Times New Roman" w:hint="eastAsia"/>
          <w:sz w:val="20"/>
          <w:szCs w:val="20"/>
        </w:rPr>
        <w:t>Adhoc</w:t>
      </w:r>
      <w:proofErr w:type="spellEnd"/>
    </w:p>
    <w:p w:rsidR="007A3035" w:rsidRDefault="007A3035" w:rsidP="007A3035">
      <w:pPr>
        <w:widowControl w:val="0"/>
        <w:snapToGrid w:val="0"/>
        <w:spacing w:after="0" w:line="320" w:lineRule="exact"/>
        <w:ind w:left="418"/>
        <w:jc w:val="both"/>
        <w:rPr>
          <w:rFonts w:ascii="Times New Roman" w:hAnsi="Times New Roman"/>
          <w:sz w:val="20"/>
          <w:szCs w:val="20"/>
        </w:rPr>
      </w:pPr>
    </w:p>
    <w:p w:rsidR="007A3035" w:rsidRDefault="007A3035" w:rsidP="007A3035">
      <w:pPr>
        <w:widowControl w:val="0"/>
        <w:snapToGrid w:val="0"/>
        <w:spacing w:after="0" w:line="320" w:lineRule="exact"/>
        <w:ind w:left="418"/>
        <w:jc w:val="both"/>
        <w:rPr>
          <w:rFonts w:ascii="Times New Roman" w:hAnsi="Times New Roman"/>
          <w:sz w:val="20"/>
          <w:szCs w:val="20"/>
        </w:rPr>
      </w:pPr>
    </w:p>
    <w:p w:rsidR="00864877" w:rsidRPr="00716ED5" w:rsidRDefault="00B26CA4" w:rsidP="00C030CA">
      <w:pPr>
        <w:pStyle w:val="Heading1"/>
        <w:numPr>
          <w:ilvl w:val="0"/>
          <w:numId w:val="0"/>
        </w:numPr>
        <w:snapToGrid w:val="0"/>
        <w:spacing w:afterLines="50"/>
        <w:rPr>
          <w:rFonts w:cs="Arial"/>
          <w:b w:val="0"/>
          <w:lang w:val="en-US"/>
        </w:rPr>
      </w:pPr>
      <w:r w:rsidRPr="00B26CA4">
        <w:rPr>
          <w:rFonts w:cs="Arial"/>
          <w:lang w:val="en-US"/>
        </w:rPr>
        <w:t xml:space="preserve">ANNEX </w:t>
      </w:r>
    </w:p>
    <w:p w:rsidR="00F93B7E" w:rsidRDefault="00F93B7E" w:rsidP="00F93B7E">
      <w:pPr>
        <w:jc w:val="both"/>
        <w:rPr>
          <w:rFonts w:ascii="Times New Roman" w:hAnsi="Times New Roman"/>
          <w:sz w:val="20"/>
          <w:szCs w:val="20"/>
        </w:rPr>
      </w:pPr>
      <w:r>
        <w:rPr>
          <w:rFonts w:ascii="Times New Roman" w:hAnsi="Times New Roman" w:hint="eastAsia"/>
          <w:sz w:val="20"/>
          <w:szCs w:val="20"/>
        </w:rPr>
        <w:t xml:space="preserve">Simulation parameters for payload only Msg1 are shown on </w:t>
      </w:r>
      <w:r w:rsidR="004E4831">
        <w:rPr>
          <w:rFonts w:ascii="Times New Roman" w:hAnsi="Times New Roman"/>
          <w:sz w:val="20"/>
          <w:szCs w:val="20"/>
        </w:rPr>
        <w:t>Table A1</w:t>
      </w:r>
      <w:r>
        <w:rPr>
          <w:rFonts w:ascii="Times New Roman" w:hAnsi="Times New Roman" w:hint="eastAsia"/>
          <w:sz w:val="20"/>
          <w:szCs w:val="20"/>
        </w:rPr>
        <w:t>.</w:t>
      </w:r>
    </w:p>
    <w:p w:rsidR="00F93B7E" w:rsidRDefault="00F93B7E" w:rsidP="006203A4">
      <w:pPr>
        <w:spacing w:after="0"/>
        <w:jc w:val="center"/>
        <w:rPr>
          <w:rFonts w:ascii="Times New Roman" w:hAnsi="Times New Roman"/>
          <w:sz w:val="20"/>
          <w:szCs w:val="20"/>
        </w:rPr>
      </w:pPr>
      <w:proofErr w:type="gramStart"/>
      <w:r w:rsidRPr="00A6065C">
        <w:rPr>
          <w:rFonts w:ascii="Times New Roman" w:hAnsi="Times New Roman"/>
          <w:sz w:val="20"/>
          <w:szCs w:val="20"/>
        </w:rPr>
        <w:t>T</w:t>
      </w:r>
      <w:r w:rsidR="004E4831">
        <w:rPr>
          <w:rFonts w:ascii="Times New Roman" w:hAnsi="Times New Roman"/>
          <w:sz w:val="20"/>
          <w:szCs w:val="20"/>
        </w:rPr>
        <w:t>able</w:t>
      </w:r>
      <w:r w:rsidRPr="00A6065C">
        <w:rPr>
          <w:rFonts w:ascii="Times New Roman" w:hAnsi="Times New Roman"/>
          <w:sz w:val="20"/>
          <w:szCs w:val="20"/>
        </w:rPr>
        <w:t xml:space="preserve"> </w:t>
      </w:r>
      <w:r w:rsidR="00F133DD">
        <w:rPr>
          <w:rFonts w:ascii="Times New Roman" w:hAnsi="Times New Roman"/>
          <w:sz w:val="20"/>
          <w:szCs w:val="20"/>
        </w:rPr>
        <w:t>A1</w:t>
      </w:r>
      <w:r w:rsidRPr="00A6065C">
        <w:rPr>
          <w:rFonts w:ascii="Times New Roman" w:hAnsi="Times New Roman"/>
          <w:sz w:val="20"/>
          <w:szCs w:val="20"/>
        </w:rPr>
        <w:t xml:space="preserve"> </w:t>
      </w:r>
      <w:r w:rsidR="004E4831">
        <w:rPr>
          <w:rFonts w:ascii="Times New Roman" w:hAnsi="Times New Roman"/>
          <w:sz w:val="20"/>
          <w:szCs w:val="20"/>
        </w:rPr>
        <w:t>Simulation parameters for payload only.</w:t>
      </w:r>
      <w:proofErr w:type="gramEnd"/>
    </w:p>
    <w:tbl>
      <w:tblPr>
        <w:tblW w:w="0" w:type="auto"/>
        <w:tblInd w:w="628" w:type="dxa"/>
        <w:shd w:val="clear" w:color="auto" w:fill="FFFFFF"/>
        <w:tblCellMar>
          <w:left w:w="0" w:type="dxa"/>
          <w:right w:w="0" w:type="dxa"/>
        </w:tblCellMar>
        <w:tblLook w:val="04A0"/>
      </w:tblPr>
      <w:tblGrid>
        <w:gridCol w:w="3690"/>
        <w:gridCol w:w="4950"/>
      </w:tblGrid>
      <w:tr w:rsidR="00F93B7E" w:rsidRPr="00716ED5" w:rsidTr="00EA5EE2">
        <w:tc>
          <w:tcPr>
            <w:tcW w:w="3690" w:type="dxa"/>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Bandwidth</w:t>
            </w:r>
          </w:p>
        </w:tc>
        <w:tc>
          <w:tcPr>
            <w:tcW w:w="4950" w:type="dxa"/>
            <w:tcBorders>
              <w:top w:val="single" w:sz="4" w:space="0" w:color="000000"/>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864   subcarrier and 1 symbol</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Subcarrier   space</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1250Hz</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Modulation</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BPSK</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Channel   code</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Turbo</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Code   rate</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1/3</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Time   delay</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Random   uniform distributed from [0, 50us]</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S</w:t>
            </w:r>
            <w:r w:rsidRPr="00EA5EE2">
              <w:rPr>
                <w:rFonts w:ascii="Times New Roman" w:hAnsi="Times New Roman"/>
                <w:sz w:val="20"/>
                <w:szCs w:val="20"/>
              </w:rPr>
              <w:t>p</w:t>
            </w:r>
            <w:r w:rsidRPr="00EA5EE2">
              <w:rPr>
                <w:rFonts w:ascii="Times New Roman" w:hAnsi="Times New Roman" w:hint="eastAsia"/>
                <w:sz w:val="20"/>
                <w:szCs w:val="20"/>
              </w:rPr>
              <w:t>reading code length</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4</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Number of spreading codes</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64</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Channel</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TDL-A</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Number   of TX</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1</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Number   of RX</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2</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Channel   estimation</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hint="eastAsia"/>
                <w:sz w:val="20"/>
                <w:szCs w:val="20"/>
              </w:rPr>
              <w:t>R</w:t>
            </w:r>
            <w:r w:rsidRPr="00EA5EE2">
              <w:rPr>
                <w:rFonts w:ascii="Times New Roman" w:hAnsi="Times New Roman"/>
                <w:sz w:val="20"/>
                <w:szCs w:val="20"/>
              </w:rPr>
              <w:t>eal</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881626">
            <w:pPr>
              <w:spacing w:after="0" w:line="250" w:lineRule="atLeast"/>
              <w:jc w:val="both"/>
              <w:rPr>
                <w:rFonts w:ascii="SimSun" w:hAnsi="SimSun" w:cs="SimSun"/>
                <w:sz w:val="20"/>
                <w:szCs w:val="20"/>
              </w:rPr>
            </w:pPr>
            <w:r w:rsidRPr="00EA5EE2">
              <w:rPr>
                <w:rFonts w:ascii="Times New Roman" w:hAnsi="Times New Roman"/>
                <w:sz w:val="20"/>
                <w:szCs w:val="20"/>
              </w:rPr>
              <w:t xml:space="preserve">SNR   </w:t>
            </w:r>
            <w:r w:rsidR="00881626" w:rsidRPr="00EA5EE2">
              <w:rPr>
                <w:rFonts w:ascii="Times New Roman" w:hAnsi="Times New Roman" w:hint="eastAsia"/>
                <w:sz w:val="20"/>
                <w:szCs w:val="20"/>
              </w:rPr>
              <w:t>range</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881626" w:rsidP="007F6635">
            <w:pPr>
              <w:spacing w:after="0" w:line="250" w:lineRule="atLeast"/>
              <w:jc w:val="both"/>
              <w:rPr>
                <w:rFonts w:ascii="SimSun" w:hAnsi="SimSun" w:cs="SimSun"/>
                <w:sz w:val="20"/>
                <w:szCs w:val="20"/>
              </w:rPr>
            </w:pPr>
            <w:r w:rsidRPr="00EA5EE2">
              <w:rPr>
                <w:rFonts w:ascii="Times New Roman" w:hAnsi="Times New Roman" w:hint="eastAsia"/>
                <w:sz w:val="20"/>
                <w:szCs w:val="20"/>
              </w:rPr>
              <w:t>2,4,6,8,10</w:t>
            </w:r>
          </w:p>
        </w:tc>
      </w:tr>
      <w:tr w:rsidR="00F93B7E" w:rsidRPr="00716ED5" w:rsidTr="00EA5EE2">
        <w:tc>
          <w:tcPr>
            <w:tcW w:w="3690" w:type="dxa"/>
            <w:tcBorders>
              <w:top w:val="single" w:sz="4" w:space="0" w:color="auto"/>
              <w:left w:val="single" w:sz="4" w:space="0" w:color="000000"/>
              <w:bottom w:val="single" w:sz="4" w:space="0" w:color="auto"/>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User   number</w:t>
            </w:r>
          </w:p>
        </w:tc>
        <w:tc>
          <w:tcPr>
            <w:tcW w:w="4950" w:type="dxa"/>
            <w:tcBorders>
              <w:top w:val="single" w:sz="4" w:space="0" w:color="auto"/>
              <w:left w:val="single" w:sz="4" w:space="0" w:color="auto"/>
              <w:bottom w:val="single" w:sz="4" w:space="0" w:color="auto"/>
              <w:right w:val="single" w:sz="4" w:space="0" w:color="000000"/>
            </w:tcBorders>
            <w:shd w:val="clear" w:color="auto" w:fill="FFFFFF"/>
            <w:tcMar>
              <w:top w:w="0" w:type="dxa"/>
              <w:left w:w="88" w:type="dxa"/>
              <w:bottom w:w="0" w:type="dxa"/>
              <w:right w:w="88" w:type="dxa"/>
            </w:tcMar>
            <w:hideMark/>
          </w:tcPr>
          <w:p w:rsidR="00F93B7E" w:rsidRPr="00EA5EE2" w:rsidRDefault="00F93B7E" w:rsidP="00881626">
            <w:pPr>
              <w:spacing w:after="0" w:line="250" w:lineRule="atLeast"/>
              <w:jc w:val="both"/>
              <w:rPr>
                <w:rFonts w:ascii="SimSun" w:hAnsi="SimSun" w:cs="SimSun"/>
                <w:sz w:val="20"/>
                <w:szCs w:val="20"/>
              </w:rPr>
            </w:pPr>
            <w:r w:rsidRPr="00EA5EE2">
              <w:rPr>
                <w:rFonts w:ascii="Times New Roman" w:hAnsi="Times New Roman"/>
                <w:sz w:val="20"/>
                <w:szCs w:val="20"/>
              </w:rPr>
              <w:t>1</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Receiver</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0A2445"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SIC based blind detection</w:t>
            </w:r>
          </w:p>
        </w:tc>
      </w:tr>
    </w:tbl>
    <w:p w:rsidR="007A3035" w:rsidRDefault="007A3035" w:rsidP="007A3035">
      <w:pPr>
        <w:widowControl w:val="0"/>
        <w:snapToGrid w:val="0"/>
        <w:spacing w:after="0" w:line="320" w:lineRule="exact"/>
        <w:jc w:val="both"/>
        <w:rPr>
          <w:rFonts w:ascii="Times New Roman" w:hAnsi="Times New Roman"/>
          <w:b/>
          <w:color w:val="FF0000"/>
          <w:sz w:val="20"/>
          <w:szCs w:val="20"/>
        </w:rPr>
      </w:pPr>
    </w:p>
    <w:p w:rsidR="00F93B7E" w:rsidRDefault="009F6D77" w:rsidP="00F93B7E">
      <w:pPr>
        <w:jc w:val="both"/>
        <w:rPr>
          <w:rFonts w:ascii="Times New Roman" w:hAnsi="Times New Roman"/>
          <w:sz w:val="20"/>
        </w:rPr>
      </w:pPr>
      <w:r>
        <w:rPr>
          <w:rFonts w:ascii="Times New Roman" w:hAnsi="Times New Roman" w:hint="eastAsia"/>
          <w:sz w:val="20"/>
        </w:rPr>
        <w:t>S</w:t>
      </w:r>
      <w:r w:rsidR="00F93B7E">
        <w:rPr>
          <w:rFonts w:ascii="Times New Roman" w:hAnsi="Times New Roman" w:hint="eastAsia"/>
          <w:sz w:val="20"/>
        </w:rPr>
        <w:t xml:space="preserve">imulation parameters </w:t>
      </w:r>
      <w:r>
        <w:rPr>
          <w:rFonts w:ascii="Times New Roman" w:hAnsi="Times New Roman" w:hint="eastAsia"/>
          <w:sz w:val="20"/>
        </w:rPr>
        <w:t>for</w:t>
      </w:r>
      <w:r w:rsidR="00F93B7E">
        <w:rPr>
          <w:rFonts w:ascii="Times New Roman" w:hAnsi="Times New Roman" w:hint="eastAsia"/>
          <w:sz w:val="20"/>
        </w:rPr>
        <w:t xml:space="preserve"> Preamble + </w:t>
      </w:r>
      <w:r w:rsidR="00F93B7E">
        <w:rPr>
          <w:rFonts w:ascii="Times New Roman" w:hAnsi="Times New Roman"/>
          <w:sz w:val="20"/>
        </w:rPr>
        <w:t>payload</w:t>
      </w:r>
      <w:r w:rsidR="00F93B7E">
        <w:rPr>
          <w:rFonts w:ascii="Times New Roman" w:hAnsi="Times New Roman" w:hint="eastAsia"/>
          <w:sz w:val="20"/>
        </w:rPr>
        <w:t xml:space="preserve"> with spreading solution </w:t>
      </w:r>
      <w:r>
        <w:rPr>
          <w:rFonts w:ascii="Times New Roman" w:hAnsi="Times New Roman" w:hint="eastAsia"/>
          <w:sz w:val="20"/>
        </w:rPr>
        <w:t>are</w:t>
      </w:r>
      <w:r w:rsidR="00F93B7E">
        <w:rPr>
          <w:rFonts w:ascii="Times New Roman" w:hAnsi="Times New Roman" w:hint="eastAsia"/>
          <w:sz w:val="20"/>
        </w:rPr>
        <w:t xml:space="preserve"> given in T</w:t>
      </w:r>
      <w:r w:rsidR="004E4831">
        <w:rPr>
          <w:rFonts w:ascii="Times New Roman" w:hAnsi="Times New Roman"/>
          <w:sz w:val="20"/>
        </w:rPr>
        <w:t>able</w:t>
      </w:r>
      <w:r w:rsidR="00F93B7E">
        <w:rPr>
          <w:rFonts w:ascii="Times New Roman" w:hAnsi="Times New Roman" w:hint="eastAsia"/>
          <w:sz w:val="20"/>
        </w:rPr>
        <w:t xml:space="preserve"> </w:t>
      </w:r>
      <w:r w:rsidR="004E4831">
        <w:rPr>
          <w:rFonts w:ascii="Times New Roman" w:hAnsi="Times New Roman"/>
          <w:sz w:val="20"/>
        </w:rPr>
        <w:t>A2</w:t>
      </w:r>
      <w:r w:rsidR="00F93B7E">
        <w:rPr>
          <w:rFonts w:ascii="Times New Roman" w:hAnsi="Times New Roman" w:hint="eastAsia"/>
          <w:sz w:val="20"/>
        </w:rPr>
        <w:t xml:space="preserve">. </w:t>
      </w:r>
    </w:p>
    <w:p w:rsidR="00F93B7E" w:rsidRDefault="00F93B7E" w:rsidP="006203A4">
      <w:pPr>
        <w:spacing w:after="0"/>
        <w:jc w:val="center"/>
        <w:rPr>
          <w:rFonts w:ascii="Times New Roman" w:hAnsi="Times New Roman"/>
          <w:sz w:val="20"/>
          <w:szCs w:val="20"/>
        </w:rPr>
      </w:pPr>
      <w:r w:rsidRPr="00A6065C">
        <w:rPr>
          <w:rFonts w:ascii="Times New Roman" w:hAnsi="Times New Roman"/>
          <w:sz w:val="20"/>
          <w:szCs w:val="20"/>
        </w:rPr>
        <w:t>T</w:t>
      </w:r>
      <w:r w:rsidR="004E4831">
        <w:rPr>
          <w:rFonts w:ascii="Times New Roman" w:hAnsi="Times New Roman"/>
          <w:sz w:val="20"/>
          <w:szCs w:val="20"/>
        </w:rPr>
        <w:t>able</w:t>
      </w:r>
      <w:r w:rsidRPr="00A6065C">
        <w:rPr>
          <w:rFonts w:ascii="Times New Roman" w:hAnsi="Times New Roman"/>
          <w:sz w:val="20"/>
          <w:szCs w:val="20"/>
        </w:rPr>
        <w:t xml:space="preserve"> </w:t>
      </w:r>
      <w:r w:rsidR="004E4831">
        <w:rPr>
          <w:rFonts w:ascii="Times New Roman" w:hAnsi="Times New Roman"/>
          <w:sz w:val="20"/>
          <w:szCs w:val="20"/>
        </w:rPr>
        <w:t>A2</w:t>
      </w:r>
      <w:r w:rsidRPr="00A6065C">
        <w:rPr>
          <w:rFonts w:ascii="Times New Roman" w:hAnsi="Times New Roman"/>
          <w:sz w:val="20"/>
          <w:szCs w:val="20"/>
        </w:rPr>
        <w:t xml:space="preserve"> </w:t>
      </w:r>
      <w:r w:rsidR="004E4831">
        <w:rPr>
          <w:rFonts w:ascii="Times New Roman" w:hAnsi="Times New Roman"/>
          <w:sz w:val="20"/>
          <w:szCs w:val="20"/>
        </w:rPr>
        <w:t>Simulation parameters for preamble + payload</w:t>
      </w:r>
    </w:p>
    <w:tbl>
      <w:tblPr>
        <w:tblW w:w="0" w:type="auto"/>
        <w:tblInd w:w="628" w:type="dxa"/>
        <w:shd w:val="clear" w:color="auto" w:fill="FFFFFF"/>
        <w:tblCellMar>
          <w:left w:w="0" w:type="dxa"/>
          <w:right w:w="0" w:type="dxa"/>
        </w:tblCellMar>
        <w:tblLook w:val="04A0"/>
      </w:tblPr>
      <w:tblGrid>
        <w:gridCol w:w="3690"/>
        <w:gridCol w:w="4950"/>
      </w:tblGrid>
      <w:tr w:rsidR="00F93B7E" w:rsidRPr="00716ED5" w:rsidTr="00EA5EE2">
        <w:tc>
          <w:tcPr>
            <w:tcW w:w="3690" w:type="dxa"/>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Bandwidth</w:t>
            </w:r>
          </w:p>
        </w:tc>
        <w:tc>
          <w:tcPr>
            <w:tcW w:w="4950" w:type="dxa"/>
            <w:tcBorders>
              <w:top w:val="single" w:sz="4" w:space="0" w:color="000000"/>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hint="eastAsia"/>
                <w:sz w:val="20"/>
                <w:szCs w:val="20"/>
              </w:rPr>
              <w:t>1080kHz with 432</w:t>
            </w:r>
            <w:r w:rsidRPr="00EA5EE2">
              <w:rPr>
                <w:rFonts w:ascii="Times New Roman" w:hAnsi="Times New Roman"/>
                <w:sz w:val="20"/>
                <w:szCs w:val="20"/>
              </w:rPr>
              <w:t xml:space="preserve"> subcarrier</w:t>
            </w:r>
            <w:r w:rsidRPr="00EA5EE2">
              <w:rPr>
                <w:rFonts w:ascii="Times New Roman" w:hAnsi="Times New Roman" w:hint="eastAsia"/>
                <w:sz w:val="20"/>
                <w:szCs w:val="20"/>
              </w:rPr>
              <w:t xml:space="preserve">s, </w:t>
            </w:r>
            <w:r w:rsidRPr="00EA5EE2">
              <w:rPr>
                <w:rFonts w:ascii="Times New Roman" w:hAnsi="Times New Roman"/>
                <w:sz w:val="20"/>
                <w:szCs w:val="20"/>
              </w:rPr>
              <w:t xml:space="preserve">1 </w:t>
            </w:r>
            <w:r w:rsidRPr="00EA5EE2">
              <w:rPr>
                <w:rFonts w:ascii="Times New Roman" w:hAnsi="Times New Roman" w:hint="eastAsia"/>
                <w:sz w:val="20"/>
                <w:szCs w:val="20"/>
              </w:rPr>
              <w:t xml:space="preserve">OFDM </w:t>
            </w:r>
            <w:r w:rsidRPr="00EA5EE2">
              <w:rPr>
                <w:rFonts w:ascii="Times New Roman" w:hAnsi="Times New Roman"/>
                <w:sz w:val="20"/>
                <w:szCs w:val="20"/>
              </w:rPr>
              <w:t>symbol</w:t>
            </w:r>
            <w:r w:rsidRPr="00EA5EE2">
              <w:rPr>
                <w:rFonts w:ascii="Times New Roman" w:hAnsi="Times New Roman" w:hint="eastAsia"/>
                <w:sz w:val="20"/>
                <w:szCs w:val="20"/>
              </w:rPr>
              <w:t xml:space="preserve"> for preamble and 1 OFDM symbol for payload</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Subcarrier   space</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hint="eastAsia"/>
                <w:sz w:val="20"/>
                <w:szCs w:val="20"/>
              </w:rPr>
              <w:t>2500</w:t>
            </w:r>
            <w:r w:rsidRPr="00EA5EE2">
              <w:rPr>
                <w:rFonts w:ascii="Times New Roman" w:hAnsi="Times New Roman"/>
                <w:sz w:val="20"/>
                <w:szCs w:val="20"/>
              </w:rPr>
              <w:t>Hz</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Modulation</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hint="eastAsia"/>
                <w:sz w:val="20"/>
                <w:szCs w:val="20"/>
              </w:rPr>
              <w:t>Q</w:t>
            </w:r>
            <w:r w:rsidRPr="00EA5EE2">
              <w:rPr>
                <w:rFonts w:ascii="Times New Roman" w:hAnsi="Times New Roman"/>
                <w:sz w:val="20"/>
                <w:szCs w:val="20"/>
              </w:rPr>
              <w:t>PSK</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Channel   code</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Turbo</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Code   rate</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1/3</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Time   delay</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hint="eastAsia"/>
                <w:sz w:val="20"/>
                <w:szCs w:val="20"/>
              </w:rPr>
              <w:t>U</w:t>
            </w:r>
            <w:r w:rsidRPr="00EA5EE2">
              <w:rPr>
                <w:rFonts w:ascii="Times New Roman" w:hAnsi="Times New Roman"/>
                <w:sz w:val="20"/>
                <w:szCs w:val="20"/>
              </w:rPr>
              <w:t xml:space="preserve">niform distributed </w:t>
            </w:r>
            <w:r w:rsidRPr="00EA5EE2">
              <w:rPr>
                <w:rFonts w:ascii="Times New Roman" w:hAnsi="Times New Roman" w:hint="eastAsia"/>
                <w:sz w:val="20"/>
                <w:szCs w:val="20"/>
              </w:rPr>
              <w:t xml:space="preserve">in </w:t>
            </w:r>
            <w:r w:rsidRPr="00EA5EE2">
              <w:rPr>
                <w:rFonts w:ascii="Times New Roman" w:hAnsi="Times New Roman"/>
                <w:sz w:val="20"/>
                <w:szCs w:val="20"/>
              </w:rPr>
              <w:t>[0, 5</w:t>
            </w:r>
            <w:r w:rsidRPr="00EA5EE2">
              <w:rPr>
                <w:rFonts w:ascii="Times New Roman" w:hAnsi="Times New Roman" w:hint="eastAsia"/>
                <w:sz w:val="20"/>
                <w:szCs w:val="20"/>
              </w:rPr>
              <w:t>.2</w:t>
            </w:r>
            <w:r w:rsidRPr="00EA5EE2">
              <w:rPr>
                <w:rFonts w:ascii="Times New Roman" w:hAnsi="Times New Roman"/>
                <w:sz w:val="20"/>
                <w:szCs w:val="20"/>
              </w:rPr>
              <w:t>us]</w:t>
            </w:r>
            <w:r w:rsidRPr="00EA5EE2">
              <w:rPr>
                <w:rFonts w:ascii="Times New Roman" w:hAnsi="Times New Roman" w:hint="eastAsia"/>
                <w:sz w:val="20"/>
                <w:szCs w:val="20"/>
              </w:rPr>
              <w:t>, corresponding to cell radius of 1.8km</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S</w:t>
            </w:r>
            <w:r w:rsidRPr="00EA5EE2">
              <w:rPr>
                <w:rFonts w:ascii="Times New Roman" w:hAnsi="Times New Roman"/>
                <w:sz w:val="20"/>
                <w:szCs w:val="20"/>
              </w:rPr>
              <w:t>p</w:t>
            </w:r>
            <w:r w:rsidRPr="00EA5EE2">
              <w:rPr>
                <w:rFonts w:ascii="Times New Roman" w:hAnsi="Times New Roman" w:hint="eastAsia"/>
                <w:sz w:val="20"/>
                <w:szCs w:val="20"/>
              </w:rPr>
              <w:t>reading code length</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4</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Number of preamble/spreading codes</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 xml:space="preserve">64, 1-to-1 mapping, preamble uses ZC </w:t>
            </w:r>
            <w:r w:rsidRPr="00EA5EE2">
              <w:rPr>
                <w:rFonts w:ascii="Times New Roman" w:hAnsi="Times New Roman"/>
                <w:sz w:val="20"/>
                <w:szCs w:val="20"/>
              </w:rPr>
              <w:t>sequence</w:t>
            </w:r>
            <w:r w:rsidRPr="00EA5EE2">
              <w:rPr>
                <w:rFonts w:ascii="Times New Roman" w:hAnsi="Times New Roman" w:hint="eastAsia"/>
                <w:sz w:val="20"/>
                <w:szCs w:val="20"/>
              </w:rPr>
              <w:t xml:space="preserve"> with 2 roots per cell and 32 cyclic shifts per roots</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Channel</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TDL-A</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Number   of TX</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1</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Number   of RX</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2</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Channel   estimation</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hint="eastAsia"/>
                <w:sz w:val="20"/>
                <w:szCs w:val="20"/>
              </w:rPr>
              <w:t>R</w:t>
            </w:r>
            <w:r w:rsidRPr="00EA5EE2">
              <w:rPr>
                <w:rFonts w:ascii="Times New Roman" w:hAnsi="Times New Roman"/>
                <w:sz w:val="20"/>
                <w:szCs w:val="20"/>
              </w:rPr>
              <w:t>eal</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881626">
            <w:pPr>
              <w:spacing w:after="0" w:line="250" w:lineRule="atLeast"/>
              <w:jc w:val="both"/>
              <w:rPr>
                <w:rFonts w:ascii="SimSun" w:hAnsi="SimSun" w:cs="SimSun"/>
                <w:sz w:val="20"/>
                <w:szCs w:val="20"/>
              </w:rPr>
            </w:pPr>
            <w:r w:rsidRPr="00EA5EE2">
              <w:rPr>
                <w:rFonts w:ascii="Times New Roman" w:hAnsi="Times New Roman"/>
                <w:sz w:val="20"/>
                <w:szCs w:val="20"/>
              </w:rPr>
              <w:t xml:space="preserve">SNR   </w:t>
            </w:r>
            <w:r w:rsidR="00881626" w:rsidRPr="00EA5EE2">
              <w:rPr>
                <w:rFonts w:ascii="Times New Roman" w:hAnsi="Times New Roman" w:hint="eastAsia"/>
                <w:sz w:val="20"/>
                <w:szCs w:val="20"/>
              </w:rPr>
              <w:t>range [dB]</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881626" w:rsidP="007F6635">
            <w:pPr>
              <w:spacing w:after="0" w:line="250" w:lineRule="atLeast"/>
              <w:jc w:val="both"/>
              <w:rPr>
                <w:rFonts w:ascii="SimSun" w:hAnsi="SimSun" w:cs="SimSun"/>
                <w:sz w:val="20"/>
                <w:szCs w:val="20"/>
              </w:rPr>
            </w:pPr>
            <w:r w:rsidRPr="00EA5EE2">
              <w:rPr>
                <w:rFonts w:ascii="Times New Roman" w:hAnsi="Times New Roman"/>
                <w:sz w:val="20"/>
                <w:szCs w:val="20"/>
              </w:rPr>
              <w:t>F</w:t>
            </w:r>
            <w:r w:rsidRPr="00EA5EE2">
              <w:rPr>
                <w:rFonts w:ascii="Times New Roman" w:hAnsi="Times New Roman" w:hint="eastAsia"/>
                <w:sz w:val="20"/>
                <w:szCs w:val="20"/>
              </w:rPr>
              <w:t>ixed 2,4,6,8,10</w:t>
            </w:r>
          </w:p>
        </w:tc>
      </w:tr>
      <w:tr w:rsidR="00F93B7E" w:rsidRPr="00716ED5" w:rsidTr="00EA5EE2">
        <w:tc>
          <w:tcPr>
            <w:tcW w:w="3690" w:type="dxa"/>
            <w:tcBorders>
              <w:top w:val="single" w:sz="4" w:space="0" w:color="auto"/>
              <w:left w:val="single" w:sz="4" w:space="0" w:color="000000"/>
              <w:bottom w:val="single" w:sz="4" w:space="0" w:color="auto"/>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User   number</w:t>
            </w:r>
          </w:p>
        </w:tc>
        <w:tc>
          <w:tcPr>
            <w:tcW w:w="4950" w:type="dxa"/>
            <w:tcBorders>
              <w:top w:val="single" w:sz="4" w:space="0" w:color="auto"/>
              <w:left w:val="single" w:sz="4" w:space="0" w:color="auto"/>
              <w:bottom w:val="single" w:sz="4" w:space="0" w:color="auto"/>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SimSun" w:hAnsi="SimSun" w:cs="SimSun"/>
                <w:sz w:val="20"/>
                <w:szCs w:val="20"/>
              </w:rPr>
            </w:pPr>
            <w:r w:rsidRPr="00EA5EE2">
              <w:rPr>
                <w:rFonts w:ascii="Times New Roman" w:hAnsi="Times New Roman"/>
                <w:sz w:val="20"/>
                <w:szCs w:val="20"/>
              </w:rPr>
              <w:t>1</w:t>
            </w:r>
          </w:p>
        </w:tc>
      </w:tr>
      <w:tr w:rsidR="00F93B7E" w:rsidRPr="00716ED5" w:rsidTr="00EA5EE2">
        <w:tc>
          <w:tcPr>
            <w:tcW w:w="3690" w:type="dxa"/>
            <w:tcBorders>
              <w:top w:val="single" w:sz="4" w:space="0" w:color="auto"/>
              <w:left w:val="single" w:sz="4" w:space="0" w:color="000000"/>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Receiver</w:t>
            </w:r>
          </w:p>
        </w:tc>
        <w:tc>
          <w:tcPr>
            <w:tcW w:w="4950" w:type="dxa"/>
            <w:tcBorders>
              <w:top w:val="single" w:sz="4" w:space="0" w:color="auto"/>
              <w:left w:val="single" w:sz="4" w:space="0" w:color="auto"/>
              <w:bottom w:val="single" w:sz="4" w:space="0" w:color="000000"/>
              <w:right w:val="single" w:sz="4" w:space="0" w:color="000000"/>
            </w:tcBorders>
            <w:shd w:val="clear" w:color="auto" w:fill="FFFFFF"/>
            <w:tcMar>
              <w:top w:w="0" w:type="dxa"/>
              <w:left w:w="88" w:type="dxa"/>
              <w:bottom w:w="0" w:type="dxa"/>
              <w:right w:w="88" w:type="dxa"/>
            </w:tcMar>
            <w:hideMark/>
          </w:tcPr>
          <w:p w:rsidR="00F93B7E" w:rsidRPr="00EA5EE2" w:rsidRDefault="00F93B7E" w:rsidP="007F6635">
            <w:pPr>
              <w:spacing w:after="0" w:line="250" w:lineRule="atLeast"/>
              <w:jc w:val="both"/>
              <w:rPr>
                <w:rFonts w:ascii="Times New Roman" w:hAnsi="Times New Roman"/>
                <w:sz w:val="20"/>
                <w:szCs w:val="20"/>
              </w:rPr>
            </w:pPr>
            <w:r w:rsidRPr="00EA5EE2">
              <w:rPr>
                <w:rFonts w:ascii="Times New Roman" w:hAnsi="Times New Roman" w:hint="eastAsia"/>
                <w:sz w:val="20"/>
                <w:szCs w:val="20"/>
              </w:rPr>
              <w:t>MMSE-SIC</w:t>
            </w:r>
          </w:p>
        </w:tc>
      </w:tr>
    </w:tbl>
    <w:p w:rsidR="00F93B7E" w:rsidRDefault="00F93B7E" w:rsidP="00F93B7E">
      <w:pPr>
        <w:jc w:val="both"/>
        <w:rPr>
          <w:rFonts w:ascii="Times New Roman" w:hAnsi="Times New Roman"/>
          <w:sz w:val="20"/>
        </w:rPr>
      </w:pPr>
    </w:p>
    <w:p w:rsidR="00F93B7E" w:rsidRPr="00F93B7E" w:rsidRDefault="00F93B7E" w:rsidP="007A3035">
      <w:pPr>
        <w:widowControl w:val="0"/>
        <w:snapToGrid w:val="0"/>
        <w:spacing w:after="0" w:line="320" w:lineRule="exact"/>
        <w:jc w:val="both"/>
        <w:rPr>
          <w:rFonts w:ascii="Times New Roman" w:hAnsi="Times New Roman"/>
          <w:b/>
          <w:color w:val="FF0000"/>
          <w:sz w:val="20"/>
          <w:szCs w:val="20"/>
        </w:rPr>
      </w:pPr>
    </w:p>
    <w:sectPr w:rsidR="00F93B7E" w:rsidRPr="00F93B7E" w:rsidSect="007374B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2C0" w:rsidRDefault="006052C0" w:rsidP="006C68B1">
      <w:pPr>
        <w:spacing w:after="0" w:line="240" w:lineRule="auto"/>
      </w:pPr>
      <w:r>
        <w:separator/>
      </w:r>
    </w:p>
  </w:endnote>
  <w:endnote w:type="continuationSeparator" w:id="0">
    <w:p w:rsidR="006052C0" w:rsidRDefault="006052C0" w:rsidP="006C6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2C0" w:rsidRDefault="006052C0" w:rsidP="006C68B1">
      <w:pPr>
        <w:spacing w:after="0" w:line="240" w:lineRule="auto"/>
      </w:pPr>
      <w:r>
        <w:separator/>
      </w:r>
    </w:p>
  </w:footnote>
  <w:footnote w:type="continuationSeparator" w:id="0">
    <w:p w:rsidR="006052C0" w:rsidRDefault="006052C0" w:rsidP="006C68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F3A6A9E"/>
    <w:lvl w:ilvl="0">
      <w:start w:val="1"/>
      <w:numFmt w:val="decimal"/>
      <w:pStyle w:val="ListNumber"/>
      <w:lvlText w:val="%1."/>
      <w:lvlJc w:val="left"/>
      <w:pPr>
        <w:tabs>
          <w:tab w:val="num" w:pos="360"/>
        </w:tabs>
        <w:ind w:left="360" w:hangingChars="200" w:hanging="360"/>
      </w:pPr>
    </w:lvl>
  </w:abstractNum>
  <w:abstractNum w:abstractNumId="1">
    <w:nsid w:val="1B276A68"/>
    <w:multiLevelType w:val="hybridMultilevel"/>
    <w:tmpl w:val="C82844C4"/>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47B04CB"/>
    <w:multiLevelType w:val="hybridMultilevel"/>
    <w:tmpl w:val="69B017D6"/>
    <w:lvl w:ilvl="0" w:tplc="745A4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2A1763"/>
    <w:multiLevelType w:val="hybridMultilevel"/>
    <w:tmpl w:val="1D686596"/>
    <w:lvl w:ilvl="0" w:tplc="F1BEC7A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37BB4E61"/>
    <w:multiLevelType w:val="multilevel"/>
    <w:tmpl w:val="1AE62BFC"/>
    <w:lvl w:ilvl="0">
      <w:start w:val="1"/>
      <w:numFmt w:val="decimal"/>
      <w:pStyle w:val="Heading1"/>
      <w:lvlText w:val="%1."/>
      <w:lvlJc w:val="left"/>
      <w:pPr>
        <w:tabs>
          <w:tab w:val="num" w:pos="709"/>
        </w:tabs>
        <w:ind w:left="709"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lang w:val="en-GB"/>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40AD6867"/>
    <w:multiLevelType w:val="hybridMultilevel"/>
    <w:tmpl w:val="29F2B4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4F82707"/>
    <w:multiLevelType w:val="hybridMultilevel"/>
    <w:tmpl w:val="D2B02B08"/>
    <w:lvl w:ilvl="0" w:tplc="9E86E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DCE4B8B"/>
    <w:multiLevelType w:val="multilevel"/>
    <w:tmpl w:val="B3FA0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B287817"/>
    <w:multiLevelType w:val="hybridMultilevel"/>
    <w:tmpl w:val="CD88663C"/>
    <w:lvl w:ilvl="0" w:tplc="5B7E5C5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5"/>
  </w:num>
  <w:num w:numId="3">
    <w:abstractNumId w:val="8"/>
  </w:num>
  <w:num w:numId="4">
    <w:abstractNumId w:val="0"/>
  </w:num>
  <w:num w:numId="5">
    <w:abstractNumId w:val="4"/>
  </w:num>
  <w:num w:numId="6">
    <w:abstractNumId w:val="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num>
  <w:num w:numId="11">
    <w:abstractNumId w:val="5"/>
  </w:num>
  <w:num w:numId="12">
    <w:abstractNumId w:val="5"/>
  </w:num>
  <w:num w:numId="13">
    <w:abstractNumId w:val="1"/>
  </w:num>
  <w:num w:numId="14">
    <w:abstractNumId w:val="10"/>
  </w:num>
  <w:num w:numId="15">
    <w:abstractNumId w:val="5"/>
  </w:num>
  <w:num w:numId="16">
    <w:abstractNumId w:val="5"/>
  </w:num>
  <w:num w:numId="17">
    <w:abstractNumId w:val="5"/>
  </w:num>
  <w:num w:numId="18">
    <w:abstractNumId w:val="5"/>
  </w:num>
  <w:num w:numId="19">
    <w:abstractNumId w:val="7"/>
  </w:num>
  <w:num w:numId="20">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141314">
      <o:colormru v:ext="edit" colors="#c0f,fuchsia"/>
    </o:shapedefaults>
  </w:hdrShapeDefaults>
  <w:footnotePr>
    <w:footnote w:id="-1"/>
    <w:footnote w:id="0"/>
  </w:footnotePr>
  <w:endnotePr>
    <w:endnote w:id="-1"/>
    <w:endnote w:id="0"/>
  </w:endnotePr>
  <w:compat>
    <w:useFELayout/>
  </w:compat>
  <w:rsids>
    <w:rsidRoot w:val="008E2E7F"/>
    <w:rsid w:val="0000023B"/>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41AA"/>
    <w:rsid w:val="00004DAC"/>
    <w:rsid w:val="00004F16"/>
    <w:rsid w:val="000056E3"/>
    <w:rsid w:val="000062AC"/>
    <w:rsid w:val="000066E7"/>
    <w:rsid w:val="0000678D"/>
    <w:rsid w:val="00006A0E"/>
    <w:rsid w:val="00006A0F"/>
    <w:rsid w:val="00006CAA"/>
    <w:rsid w:val="00006CB7"/>
    <w:rsid w:val="00006CE0"/>
    <w:rsid w:val="00007059"/>
    <w:rsid w:val="0000705B"/>
    <w:rsid w:val="0000714E"/>
    <w:rsid w:val="00007304"/>
    <w:rsid w:val="00007695"/>
    <w:rsid w:val="0000781D"/>
    <w:rsid w:val="00007C80"/>
    <w:rsid w:val="0001020A"/>
    <w:rsid w:val="00010371"/>
    <w:rsid w:val="0001053A"/>
    <w:rsid w:val="000105B6"/>
    <w:rsid w:val="000109A3"/>
    <w:rsid w:val="00010D02"/>
    <w:rsid w:val="00010EFA"/>
    <w:rsid w:val="00011602"/>
    <w:rsid w:val="00011820"/>
    <w:rsid w:val="00011A21"/>
    <w:rsid w:val="00011A9B"/>
    <w:rsid w:val="00011DA2"/>
    <w:rsid w:val="0001278B"/>
    <w:rsid w:val="00012BD6"/>
    <w:rsid w:val="00012C39"/>
    <w:rsid w:val="00012CC3"/>
    <w:rsid w:val="00013166"/>
    <w:rsid w:val="000132A2"/>
    <w:rsid w:val="00013571"/>
    <w:rsid w:val="00013790"/>
    <w:rsid w:val="00013AD7"/>
    <w:rsid w:val="00014604"/>
    <w:rsid w:val="000146B6"/>
    <w:rsid w:val="00014CA6"/>
    <w:rsid w:val="00014D10"/>
    <w:rsid w:val="00014F36"/>
    <w:rsid w:val="00015D4E"/>
    <w:rsid w:val="00016CE4"/>
    <w:rsid w:val="00017068"/>
    <w:rsid w:val="000170A8"/>
    <w:rsid w:val="000170F1"/>
    <w:rsid w:val="0001722B"/>
    <w:rsid w:val="00017256"/>
    <w:rsid w:val="000178F8"/>
    <w:rsid w:val="00017A7E"/>
    <w:rsid w:val="00020328"/>
    <w:rsid w:val="00020334"/>
    <w:rsid w:val="00020728"/>
    <w:rsid w:val="000209AA"/>
    <w:rsid w:val="00020B14"/>
    <w:rsid w:val="00020F56"/>
    <w:rsid w:val="0002141C"/>
    <w:rsid w:val="0002178A"/>
    <w:rsid w:val="00021858"/>
    <w:rsid w:val="0002224A"/>
    <w:rsid w:val="0002256A"/>
    <w:rsid w:val="00022857"/>
    <w:rsid w:val="00022919"/>
    <w:rsid w:val="000229AC"/>
    <w:rsid w:val="0002329B"/>
    <w:rsid w:val="00023951"/>
    <w:rsid w:val="00023ECE"/>
    <w:rsid w:val="00023FB8"/>
    <w:rsid w:val="000244B9"/>
    <w:rsid w:val="000248FE"/>
    <w:rsid w:val="00024913"/>
    <w:rsid w:val="00025657"/>
    <w:rsid w:val="00025695"/>
    <w:rsid w:val="00025CE0"/>
    <w:rsid w:val="00025D5E"/>
    <w:rsid w:val="000268D4"/>
    <w:rsid w:val="0002693A"/>
    <w:rsid w:val="00026B95"/>
    <w:rsid w:val="00026C59"/>
    <w:rsid w:val="00026DB7"/>
    <w:rsid w:val="00027514"/>
    <w:rsid w:val="00027C30"/>
    <w:rsid w:val="00027D0A"/>
    <w:rsid w:val="00027E02"/>
    <w:rsid w:val="00027E54"/>
    <w:rsid w:val="00027EF8"/>
    <w:rsid w:val="00030104"/>
    <w:rsid w:val="00030476"/>
    <w:rsid w:val="000308CD"/>
    <w:rsid w:val="00030A30"/>
    <w:rsid w:val="000311E9"/>
    <w:rsid w:val="0003128F"/>
    <w:rsid w:val="00031DF7"/>
    <w:rsid w:val="000322B0"/>
    <w:rsid w:val="0003287D"/>
    <w:rsid w:val="00032999"/>
    <w:rsid w:val="000329C9"/>
    <w:rsid w:val="000332EA"/>
    <w:rsid w:val="00033574"/>
    <w:rsid w:val="00033A65"/>
    <w:rsid w:val="00033E21"/>
    <w:rsid w:val="00034295"/>
    <w:rsid w:val="00034304"/>
    <w:rsid w:val="000343A2"/>
    <w:rsid w:val="000343EA"/>
    <w:rsid w:val="00034A7B"/>
    <w:rsid w:val="00034B05"/>
    <w:rsid w:val="00034D1E"/>
    <w:rsid w:val="00034DB0"/>
    <w:rsid w:val="000352DF"/>
    <w:rsid w:val="000352EF"/>
    <w:rsid w:val="0003557C"/>
    <w:rsid w:val="00035BE4"/>
    <w:rsid w:val="00035E56"/>
    <w:rsid w:val="00035F9E"/>
    <w:rsid w:val="00036560"/>
    <w:rsid w:val="000366EB"/>
    <w:rsid w:val="00036A8B"/>
    <w:rsid w:val="00036B73"/>
    <w:rsid w:val="00036DDE"/>
    <w:rsid w:val="00037192"/>
    <w:rsid w:val="00037383"/>
    <w:rsid w:val="00037555"/>
    <w:rsid w:val="000377B5"/>
    <w:rsid w:val="00037880"/>
    <w:rsid w:val="00037A4D"/>
    <w:rsid w:val="00037E56"/>
    <w:rsid w:val="00040953"/>
    <w:rsid w:val="00041229"/>
    <w:rsid w:val="000417F6"/>
    <w:rsid w:val="00041B24"/>
    <w:rsid w:val="00041B9B"/>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73"/>
    <w:rsid w:val="00045995"/>
    <w:rsid w:val="00045E51"/>
    <w:rsid w:val="00046111"/>
    <w:rsid w:val="00046220"/>
    <w:rsid w:val="00046301"/>
    <w:rsid w:val="0004630F"/>
    <w:rsid w:val="00046604"/>
    <w:rsid w:val="0004680B"/>
    <w:rsid w:val="000468BF"/>
    <w:rsid w:val="00046EFA"/>
    <w:rsid w:val="000471E2"/>
    <w:rsid w:val="000479C7"/>
    <w:rsid w:val="00047CAE"/>
    <w:rsid w:val="00047FB9"/>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3EBF"/>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15B"/>
    <w:rsid w:val="00060422"/>
    <w:rsid w:val="0006057B"/>
    <w:rsid w:val="0006063D"/>
    <w:rsid w:val="0006129E"/>
    <w:rsid w:val="000612C4"/>
    <w:rsid w:val="000619F6"/>
    <w:rsid w:val="00061C35"/>
    <w:rsid w:val="00061E51"/>
    <w:rsid w:val="00061E5C"/>
    <w:rsid w:val="000624B4"/>
    <w:rsid w:val="00062DBD"/>
    <w:rsid w:val="00062DFB"/>
    <w:rsid w:val="00062E98"/>
    <w:rsid w:val="000632E6"/>
    <w:rsid w:val="000632FC"/>
    <w:rsid w:val="0006414C"/>
    <w:rsid w:val="00064670"/>
    <w:rsid w:val="000648E8"/>
    <w:rsid w:val="00064DA8"/>
    <w:rsid w:val="00065282"/>
    <w:rsid w:val="0006528F"/>
    <w:rsid w:val="000659EB"/>
    <w:rsid w:val="00065D29"/>
    <w:rsid w:val="00066A38"/>
    <w:rsid w:val="00066D03"/>
    <w:rsid w:val="000670BC"/>
    <w:rsid w:val="00070483"/>
    <w:rsid w:val="0007092D"/>
    <w:rsid w:val="0007153B"/>
    <w:rsid w:val="000716BB"/>
    <w:rsid w:val="00071E8B"/>
    <w:rsid w:val="000722CF"/>
    <w:rsid w:val="00072399"/>
    <w:rsid w:val="000725A0"/>
    <w:rsid w:val="000727C2"/>
    <w:rsid w:val="00072BFB"/>
    <w:rsid w:val="00072DC6"/>
    <w:rsid w:val="00072FC4"/>
    <w:rsid w:val="00072FEF"/>
    <w:rsid w:val="000738A5"/>
    <w:rsid w:val="00073A92"/>
    <w:rsid w:val="00073D32"/>
    <w:rsid w:val="00073FCE"/>
    <w:rsid w:val="000742C7"/>
    <w:rsid w:val="000747D5"/>
    <w:rsid w:val="00074888"/>
    <w:rsid w:val="000748D7"/>
    <w:rsid w:val="00075101"/>
    <w:rsid w:val="00075AC1"/>
    <w:rsid w:val="0007620F"/>
    <w:rsid w:val="00076229"/>
    <w:rsid w:val="000763D5"/>
    <w:rsid w:val="000763DF"/>
    <w:rsid w:val="000764B9"/>
    <w:rsid w:val="0007662B"/>
    <w:rsid w:val="0007669E"/>
    <w:rsid w:val="0007696E"/>
    <w:rsid w:val="00076C1E"/>
    <w:rsid w:val="000778E6"/>
    <w:rsid w:val="00077A6F"/>
    <w:rsid w:val="00077DAB"/>
    <w:rsid w:val="00077E2C"/>
    <w:rsid w:val="0008028C"/>
    <w:rsid w:val="00080837"/>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457D"/>
    <w:rsid w:val="0008525F"/>
    <w:rsid w:val="00085C3B"/>
    <w:rsid w:val="00086411"/>
    <w:rsid w:val="00086FF9"/>
    <w:rsid w:val="0008789B"/>
    <w:rsid w:val="00087BEC"/>
    <w:rsid w:val="000904D7"/>
    <w:rsid w:val="000910E8"/>
    <w:rsid w:val="000919DE"/>
    <w:rsid w:val="000920F5"/>
    <w:rsid w:val="0009244E"/>
    <w:rsid w:val="000925D3"/>
    <w:rsid w:val="000929F6"/>
    <w:rsid w:val="00092E82"/>
    <w:rsid w:val="000930B4"/>
    <w:rsid w:val="000931CF"/>
    <w:rsid w:val="000934B3"/>
    <w:rsid w:val="000934E6"/>
    <w:rsid w:val="00093C4E"/>
    <w:rsid w:val="00093D9D"/>
    <w:rsid w:val="00093EF7"/>
    <w:rsid w:val="00093FD0"/>
    <w:rsid w:val="00094328"/>
    <w:rsid w:val="0009433D"/>
    <w:rsid w:val="0009450B"/>
    <w:rsid w:val="0009456B"/>
    <w:rsid w:val="000946A0"/>
    <w:rsid w:val="000946F5"/>
    <w:rsid w:val="00094954"/>
    <w:rsid w:val="00094955"/>
    <w:rsid w:val="00094A1C"/>
    <w:rsid w:val="00094F8A"/>
    <w:rsid w:val="0009513E"/>
    <w:rsid w:val="000952F3"/>
    <w:rsid w:val="000955ED"/>
    <w:rsid w:val="0009573D"/>
    <w:rsid w:val="000957A0"/>
    <w:rsid w:val="000957F3"/>
    <w:rsid w:val="00095D99"/>
    <w:rsid w:val="00095F02"/>
    <w:rsid w:val="0009616C"/>
    <w:rsid w:val="00096A10"/>
    <w:rsid w:val="00096E05"/>
    <w:rsid w:val="00097040"/>
    <w:rsid w:val="00097059"/>
    <w:rsid w:val="000971EF"/>
    <w:rsid w:val="000972E0"/>
    <w:rsid w:val="00097515"/>
    <w:rsid w:val="000977DA"/>
    <w:rsid w:val="00097966"/>
    <w:rsid w:val="00097DF2"/>
    <w:rsid w:val="00097F5D"/>
    <w:rsid w:val="000A0106"/>
    <w:rsid w:val="000A020A"/>
    <w:rsid w:val="000A03BA"/>
    <w:rsid w:val="000A085A"/>
    <w:rsid w:val="000A0BEE"/>
    <w:rsid w:val="000A0C00"/>
    <w:rsid w:val="000A189B"/>
    <w:rsid w:val="000A1BDD"/>
    <w:rsid w:val="000A1FA3"/>
    <w:rsid w:val="000A21CE"/>
    <w:rsid w:val="000A22A4"/>
    <w:rsid w:val="000A2445"/>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548F"/>
    <w:rsid w:val="000A5562"/>
    <w:rsid w:val="000A5634"/>
    <w:rsid w:val="000A5994"/>
    <w:rsid w:val="000A5AF6"/>
    <w:rsid w:val="000A5CF6"/>
    <w:rsid w:val="000A5D57"/>
    <w:rsid w:val="000A5FE1"/>
    <w:rsid w:val="000A60A1"/>
    <w:rsid w:val="000A6303"/>
    <w:rsid w:val="000A688D"/>
    <w:rsid w:val="000A6DDC"/>
    <w:rsid w:val="000A6EEB"/>
    <w:rsid w:val="000A7210"/>
    <w:rsid w:val="000A7265"/>
    <w:rsid w:val="000A750A"/>
    <w:rsid w:val="000A7BCC"/>
    <w:rsid w:val="000A7EE4"/>
    <w:rsid w:val="000B059E"/>
    <w:rsid w:val="000B0AA3"/>
    <w:rsid w:val="000B0D7A"/>
    <w:rsid w:val="000B1238"/>
    <w:rsid w:val="000B1456"/>
    <w:rsid w:val="000B1690"/>
    <w:rsid w:val="000B16A4"/>
    <w:rsid w:val="000B1808"/>
    <w:rsid w:val="000B1B31"/>
    <w:rsid w:val="000B2591"/>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E5"/>
    <w:rsid w:val="000B67FE"/>
    <w:rsid w:val="000B6A00"/>
    <w:rsid w:val="000B6CCA"/>
    <w:rsid w:val="000B6EA7"/>
    <w:rsid w:val="000B7299"/>
    <w:rsid w:val="000B72B8"/>
    <w:rsid w:val="000B74C7"/>
    <w:rsid w:val="000B78B0"/>
    <w:rsid w:val="000B7B43"/>
    <w:rsid w:val="000C0439"/>
    <w:rsid w:val="000C050C"/>
    <w:rsid w:val="000C07E0"/>
    <w:rsid w:val="000C0994"/>
    <w:rsid w:val="000C0B00"/>
    <w:rsid w:val="000C0C17"/>
    <w:rsid w:val="000C0D75"/>
    <w:rsid w:val="000C10F1"/>
    <w:rsid w:val="000C13BE"/>
    <w:rsid w:val="000C154F"/>
    <w:rsid w:val="000C1726"/>
    <w:rsid w:val="000C20E0"/>
    <w:rsid w:val="000C2880"/>
    <w:rsid w:val="000C2995"/>
    <w:rsid w:val="000C2F2B"/>
    <w:rsid w:val="000C2F50"/>
    <w:rsid w:val="000C30EA"/>
    <w:rsid w:val="000C335F"/>
    <w:rsid w:val="000C3E93"/>
    <w:rsid w:val="000C3E95"/>
    <w:rsid w:val="000C40AB"/>
    <w:rsid w:val="000C4214"/>
    <w:rsid w:val="000C470C"/>
    <w:rsid w:val="000C4CA5"/>
    <w:rsid w:val="000C4ECD"/>
    <w:rsid w:val="000C544A"/>
    <w:rsid w:val="000C559F"/>
    <w:rsid w:val="000C567D"/>
    <w:rsid w:val="000C5749"/>
    <w:rsid w:val="000C5B1A"/>
    <w:rsid w:val="000C60F6"/>
    <w:rsid w:val="000C64C0"/>
    <w:rsid w:val="000C677F"/>
    <w:rsid w:val="000C67B9"/>
    <w:rsid w:val="000C6828"/>
    <w:rsid w:val="000C6A8D"/>
    <w:rsid w:val="000C6B48"/>
    <w:rsid w:val="000C6DB3"/>
    <w:rsid w:val="000C7196"/>
    <w:rsid w:val="000C7C37"/>
    <w:rsid w:val="000C7DFD"/>
    <w:rsid w:val="000D05F8"/>
    <w:rsid w:val="000D0905"/>
    <w:rsid w:val="000D0B00"/>
    <w:rsid w:val="000D104A"/>
    <w:rsid w:val="000D116E"/>
    <w:rsid w:val="000D1248"/>
    <w:rsid w:val="000D1BD0"/>
    <w:rsid w:val="000D20E7"/>
    <w:rsid w:val="000D242D"/>
    <w:rsid w:val="000D2AC7"/>
    <w:rsid w:val="000D2C37"/>
    <w:rsid w:val="000D2C9C"/>
    <w:rsid w:val="000D2E0B"/>
    <w:rsid w:val="000D3152"/>
    <w:rsid w:val="000D326D"/>
    <w:rsid w:val="000D33FC"/>
    <w:rsid w:val="000D3405"/>
    <w:rsid w:val="000D3AAB"/>
    <w:rsid w:val="000D3CF3"/>
    <w:rsid w:val="000D463D"/>
    <w:rsid w:val="000D46BF"/>
    <w:rsid w:val="000D483E"/>
    <w:rsid w:val="000D4A5A"/>
    <w:rsid w:val="000D4E07"/>
    <w:rsid w:val="000D4ECB"/>
    <w:rsid w:val="000D50A2"/>
    <w:rsid w:val="000D5434"/>
    <w:rsid w:val="000D5C63"/>
    <w:rsid w:val="000D5EAA"/>
    <w:rsid w:val="000D606E"/>
    <w:rsid w:val="000D6105"/>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5D"/>
    <w:rsid w:val="000E0C9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6BE"/>
    <w:rsid w:val="000E5987"/>
    <w:rsid w:val="000E5B4D"/>
    <w:rsid w:val="000E5BFC"/>
    <w:rsid w:val="000E61AC"/>
    <w:rsid w:val="000E6544"/>
    <w:rsid w:val="000E6CAE"/>
    <w:rsid w:val="000E734C"/>
    <w:rsid w:val="000E7365"/>
    <w:rsid w:val="000E7613"/>
    <w:rsid w:val="000E762E"/>
    <w:rsid w:val="000E7EB1"/>
    <w:rsid w:val="000E7F4F"/>
    <w:rsid w:val="000F017E"/>
    <w:rsid w:val="000F0871"/>
    <w:rsid w:val="000F0AA0"/>
    <w:rsid w:val="000F0C42"/>
    <w:rsid w:val="000F0DBE"/>
    <w:rsid w:val="000F1404"/>
    <w:rsid w:val="000F1AE8"/>
    <w:rsid w:val="000F1C11"/>
    <w:rsid w:val="000F2346"/>
    <w:rsid w:val="000F2606"/>
    <w:rsid w:val="000F2A97"/>
    <w:rsid w:val="000F2E3C"/>
    <w:rsid w:val="000F33E5"/>
    <w:rsid w:val="000F3634"/>
    <w:rsid w:val="000F37ED"/>
    <w:rsid w:val="000F3D48"/>
    <w:rsid w:val="000F3E7E"/>
    <w:rsid w:val="000F4276"/>
    <w:rsid w:val="000F43B9"/>
    <w:rsid w:val="000F465C"/>
    <w:rsid w:val="000F4905"/>
    <w:rsid w:val="000F4A25"/>
    <w:rsid w:val="000F4ADB"/>
    <w:rsid w:val="000F4E3E"/>
    <w:rsid w:val="000F4E7F"/>
    <w:rsid w:val="000F4FC0"/>
    <w:rsid w:val="000F5AA9"/>
    <w:rsid w:val="000F5F23"/>
    <w:rsid w:val="000F6199"/>
    <w:rsid w:val="000F6788"/>
    <w:rsid w:val="000F6951"/>
    <w:rsid w:val="000F6979"/>
    <w:rsid w:val="000F6A60"/>
    <w:rsid w:val="000F6AF3"/>
    <w:rsid w:val="000F6B7B"/>
    <w:rsid w:val="000F73DB"/>
    <w:rsid w:val="000F7565"/>
    <w:rsid w:val="000F76DA"/>
    <w:rsid w:val="000F7897"/>
    <w:rsid w:val="000F7B3A"/>
    <w:rsid w:val="000F7D96"/>
    <w:rsid w:val="000F7FE3"/>
    <w:rsid w:val="000F7FFC"/>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1B1"/>
    <w:rsid w:val="001064F0"/>
    <w:rsid w:val="0010654F"/>
    <w:rsid w:val="0010687A"/>
    <w:rsid w:val="00106B2E"/>
    <w:rsid w:val="00106C15"/>
    <w:rsid w:val="00107064"/>
    <w:rsid w:val="00107348"/>
    <w:rsid w:val="001073CA"/>
    <w:rsid w:val="00107689"/>
    <w:rsid w:val="00107DF4"/>
    <w:rsid w:val="00107EB0"/>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595"/>
    <w:rsid w:val="00113D4F"/>
    <w:rsid w:val="00113E6D"/>
    <w:rsid w:val="00114528"/>
    <w:rsid w:val="00114D36"/>
    <w:rsid w:val="00115106"/>
    <w:rsid w:val="00115441"/>
    <w:rsid w:val="00115A1A"/>
    <w:rsid w:val="00115CB8"/>
    <w:rsid w:val="00115E23"/>
    <w:rsid w:val="001161A7"/>
    <w:rsid w:val="00116335"/>
    <w:rsid w:val="001165B1"/>
    <w:rsid w:val="001166D0"/>
    <w:rsid w:val="00116A65"/>
    <w:rsid w:val="00116AD1"/>
    <w:rsid w:val="00116CAE"/>
    <w:rsid w:val="00116FDD"/>
    <w:rsid w:val="00117D68"/>
    <w:rsid w:val="00117F00"/>
    <w:rsid w:val="0012015D"/>
    <w:rsid w:val="0012092E"/>
    <w:rsid w:val="00120BE8"/>
    <w:rsid w:val="00120C43"/>
    <w:rsid w:val="00120EEF"/>
    <w:rsid w:val="001210F4"/>
    <w:rsid w:val="001211F7"/>
    <w:rsid w:val="001214A8"/>
    <w:rsid w:val="001214AD"/>
    <w:rsid w:val="00121659"/>
    <w:rsid w:val="001218EA"/>
    <w:rsid w:val="0012191F"/>
    <w:rsid w:val="00121965"/>
    <w:rsid w:val="00121E7D"/>
    <w:rsid w:val="00121FD7"/>
    <w:rsid w:val="0012246C"/>
    <w:rsid w:val="00122734"/>
    <w:rsid w:val="00122A28"/>
    <w:rsid w:val="00122DBC"/>
    <w:rsid w:val="0012355E"/>
    <w:rsid w:val="001237B3"/>
    <w:rsid w:val="00123896"/>
    <w:rsid w:val="001240B6"/>
    <w:rsid w:val="00124129"/>
    <w:rsid w:val="0012456A"/>
    <w:rsid w:val="00124D4E"/>
    <w:rsid w:val="001251B1"/>
    <w:rsid w:val="001256E9"/>
    <w:rsid w:val="00125E5B"/>
    <w:rsid w:val="00125F58"/>
    <w:rsid w:val="0012617F"/>
    <w:rsid w:val="001261D7"/>
    <w:rsid w:val="0012678A"/>
    <w:rsid w:val="001267F6"/>
    <w:rsid w:val="00126A05"/>
    <w:rsid w:val="001274B6"/>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282E"/>
    <w:rsid w:val="0013334B"/>
    <w:rsid w:val="001334B5"/>
    <w:rsid w:val="00133912"/>
    <w:rsid w:val="00133CB8"/>
    <w:rsid w:val="00133E23"/>
    <w:rsid w:val="0013430C"/>
    <w:rsid w:val="0013453D"/>
    <w:rsid w:val="001345F0"/>
    <w:rsid w:val="0013478E"/>
    <w:rsid w:val="00134950"/>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2C71"/>
    <w:rsid w:val="00143417"/>
    <w:rsid w:val="0014351E"/>
    <w:rsid w:val="00143807"/>
    <w:rsid w:val="00144083"/>
    <w:rsid w:val="00144876"/>
    <w:rsid w:val="00144CA4"/>
    <w:rsid w:val="0014522D"/>
    <w:rsid w:val="00145434"/>
    <w:rsid w:val="00145AFA"/>
    <w:rsid w:val="00145BD4"/>
    <w:rsid w:val="00146244"/>
    <w:rsid w:val="00146AA8"/>
    <w:rsid w:val="0014722E"/>
    <w:rsid w:val="001473F2"/>
    <w:rsid w:val="00147542"/>
    <w:rsid w:val="00147AFC"/>
    <w:rsid w:val="00150444"/>
    <w:rsid w:val="001508C5"/>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5FFA"/>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64"/>
    <w:rsid w:val="00165BD6"/>
    <w:rsid w:val="0016606E"/>
    <w:rsid w:val="001660C2"/>
    <w:rsid w:val="00166531"/>
    <w:rsid w:val="00166659"/>
    <w:rsid w:val="001667AF"/>
    <w:rsid w:val="00166AC5"/>
    <w:rsid w:val="00166B2E"/>
    <w:rsid w:val="00167974"/>
    <w:rsid w:val="00170C24"/>
    <w:rsid w:val="00171188"/>
    <w:rsid w:val="00171A2C"/>
    <w:rsid w:val="00171EE9"/>
    <w:rsid w:val="00171EEB"/>
    <w:rsid w:val="00172053"/>
    <w:rsid w:val="0017209E"/>
    <w:rsid w:val="00172672"/>
    <w:rsid w:val="00172922"/>
    <w:rsid w:val="00172C47"/>
    <w:rsid w:val="0017362D"/>
    <w:rsid w:val="00173698"/>
    <w:rsid w:val="00173748"/>
    <w:rsid w:val="00173E99"/>
    <w:rsid w:val="00174417"/>
    <w:rsid w:val="001746FE"/>
    <w:rsid w:val="00174F8D"/>
    <w:rsid w:val="001753D3"/>
    <w:rsid w:val="00175897"/>
    <w:rsid w:val="001758B4"/>
    <w:rsid w:val="00175977"/>
    <w:rsid w:val="00175DDC"/>
    <w:rsid w:val="0017626A"/>
    <w:rsid w:val="001768CB"/>
    <w:rsid w:val="00176D05"/>
    <w:rsid w:val="00176E5A"/>
    <w:rsid w:val="0017752D"/>
    <w:rsid w:val="00177741"/>
    <w:rsid w:val="00177876"/>
    <w:rsid w:val="00177A3D"/>
    <w:rsid w:val="00177B9D"/>
    <w:rsid w:val="00177C06"/>
    <w:rsid w:val="00180053"/>
    <w:rsid w:val="00180357"/>
    <w:rsid w:val="00180370"/>
    <w:rsid w:val="001804F1"/>
    <w:rsid w:val="00180C67"/>
    <w:rsid w:val="001811DE"/>
    <w:rsid w:val="00181671"/>
    <w:rsid w:val="00181C8B"/>
    <w:rsid w:val="001825C7"/>
    <w:rsid w:val="0018267A"/>
    <w:rsid w:val="00182687"/>
    <w:rsid w:val="001829F9"/>
    <w:rsid w:val="001837A2"/>
    <w:rsid w:val="00184160"/>
    <w:rsid w:val="0018445B"/>
    <w:rsid w:val="00184B93"/>
    <w:rsid w:val="00185563"/>
    <w:rsid w:val="00185B30"/>
    <w:rsid w:val="00185E3F"/>
    <w:rsid w:val="0018607D"/>
    <w:rsid w:val="00186341"/>
    <w:rsid w:val="001869C3"/>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7DA"/>
    <w:rsid w:val="001A3889"/>
    <w:rsid w:val="001A3A8E"/>
    <w:rsid w:val="001A3EEB"/>
    <w:rsid w:val="001A4652"/>
    <w:rsid w:val="001A4A2C"/>
    <w:rsid w:val="001A4CF0"/>
    <w:rsid w:val="001A570A"/>
    <w:rsid w:val="001A5968"/>
    <w:rsid w:val="001A6484"/>
    <w:rsid w:val="001A6824"/>
    <w:rsid w:val="001A68FF"/>
    <w:rsid w:val="001A69B1"/>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0DE"/>
    <w:rsid w:val="001B3130"/>
    <w:rsid w:val="001B318B"/>
    <w:rsid w:val="001B3560"/>
    <w:rsid w:val="001B3604"/>
    <w:rsid w:val="001B3B2A"/>
    <w:rsid w:val="001B3C02"/>
    <w:rsid w:val="001B3E50"/>
    <w:rsid w:val="001B3E56"/>
    <w:rsid w:val="001B3FC6"/>
    <w:rsid w:val="001B40CE"/>
    <w:rsid w:val="001B4573"/>
    <w:rsid w:val="001B4ACC"/>
    <w:rsid w:val="001B4C15"/>
    <w:rsid w:val="001B5ADA"/>
    <w:rsid w:val="001B5B12"/>
    <w:rsid w:val="001B6030"/>
    <w:rsid w:val="001B6060"/>
    <w:rsid w:val="001B67F0"/>
    <w:rsid w:val="001B6F22"/>
    <w:rsid w:val="001B6F5C"/>
    <w:rsid w:val="001B771B"/>
    <w:rsid w:val="001B778F"/>
    <w:rsid w:val="001B7C49"/>
    <w:rsid w:val="001C039D"/>
    <w:rsid w:val="001C04C5"/>
    <w:rsid w:val="001C0677"/>
    <w:rsid w:val="001C0AA7"/>
    <w:rsid w:val="001C0BAB"/>
    <w:rsid w:val="001C0C28"/>
    <w:rsid w:val="001C0D38"/>
    <w:rsid w:val="001C1216"/>
    <w:rsid w:val="001C127E"/>
    <w:rsid w:val="001C1724"/>
    <w:rsid w:val="001C173E"/>
    <w:rsid w:val="001C17DD"/>
    <w:rsid w:val="001C1909"/>
    <w:rsid w:val="001C1A9F"/>
    <w:rsid w:val="001C1C19"/>
    <w:rsid w:val="001C2086"/>
    <w:rsid w:val="001C2140"/>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C1A"/>
    <w:rsid w:val="001C5DAA"/>
    <w:rsid w:val="001C5FD0"/>
    <w:rsid w:val="001C6228"/>
    <w:rsid w:val="001C6574"/>
    <w:rsid w:val="001C658D"/>
    <w:rsid w:val="001C6681"/>
    <w:rsid w:val="001C674F"/>
    <w:rsid w:val="001C6A44"/>
    <w:rsid w:val="001C718D"/>
    <w:rsid w:val="001C73E2"/>
    <w:rsid w:val="001C7515"/>
    <w:rsid w:val="001C76BC"/>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8AC"/>
    <w:rsid w:val="001E11BD"/>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B19"/>
    <w:rsid w:val="001E4B88"/>
    <w:rsid w:val="001E4C21"/>
    <w:rsid w:val="001E548B"/>
    <w:rsid w:val="001E5D1F"/>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7EC"/>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4E9A"/>
    <w:rsid w:val="001F51E2"/>
    <w:rsid w:val="001F5BFB"/>
    <w:rsid w:val="001F62DE"/>
    <w:rsid w:val="001F6460"/>
    <w:rsid w:val="001F6718"/>
    <w:rsid w:val="001F6C8A"/>
    <w:rsid w:val="001F6F15"/>
    <w:rsid w:val="001F7499"/>
    <w:rsid w:val="001F7788"/>
    <w:rsid w:val="001F7B57"/>
    <w:rsid w:val="002001D0"/>
    <w:rsid w:val="002003B6"/>
    <w:rsid w:val="00200684"/>
    <w:rsid w:val="00200934"/>
    <w:rsid w:val="00200C3A"/>
    <w:rsid w:val="002016F0"/>
    <w:rsid w:val="00201894"/>
    <w:rsid w:val="00201A0A"/>
    <w:rsid w:val="002023D4"/>
    <w:rsid w:val="00202557"/>
    <w:rsid w:val="00202A38"/>
    <w:rsid w:val="00202E6D"/>
    <w:rsid w:val="00202FC4"/>
    <w:rsid w:val="00203068"/>
    <w:rsid w:val="0020398F"/>
    <w:rsid w:val="00203C84"/>
    <w:rsid w:val="00203CDA"/>
    <w:rsid w:val="00203EAF"/>
    <w:rsid w:val="0020473E"/>
    <w:rsid w:val="00204962"/>
    <w:rsid w:val="00204972"/>
    <w:rsid w:val="00204C82"/>
    <w:rsid w:val="00204EE8"/>
    <w:rsid w:val="00205416"/>
    <w:rsid w:val="00205589"/>
    <w:rsid w:val="00205B8A"/>
    <w:rsid w:val="00205FFC"/>
    <w:rsid w:val="0020620F"/>
    <w:rsid w:val="002062CF"/>
    <w:rsid w:val="002064AC"/>
    <w:rsid w:val="002066AE"/>
    <w:rsid w:val="002069D6"/>
    <w:rsid w:val="00206D61"/>
    <w:rsid w:val="00207426"/>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78E"/>
    <w:rsid w:val="00214B77"/>
    <w:rsid w:val="00214D4B"/>
    <w:rsid w:val="00214F1B"/>
    <w:rsid w:val="002150E7"/>
    <w:rsid w:val="00215250"/>
    <w:rsid w:val="00215299"/>
    <w:rsid w:val="00215537"/>
    <w:rsid w:val="0021562F"/>
    <w:rsid w:val="00215A15"/>
    <w:rsid w:val="00215A32"/>
    <w:rsid w:val="00215AC9"/>
    <w:rsid w:val="00215F64"/>
    <w:rsid w:val="0021705B"/>
    <w:rsid w:val="00217152"/>
    <w:rsid w:val="002177C7"/>
    <w:rsid w:val="00217AF0"/>
    <w:rsid w:val="00217C94"/>
    <w:rsid w:val="0022028A"/>
    <w:rsid w:val="00220705"/>
    <w:rsid w:val="0022074E"/>
    <w:rsid w:val="00220A2A"/>
    <w:rsid w:val="00221065"/>
    <w:rsid w:val="002214C1"/>
    <w:rsid w:val="00221501"/>
    <w:rsid w:val="0022160E"/>
    <w:rsid w:val="00221981"/>
    <w:rsid w:val="00221B7B"/>
    <w:rsid w:val="00221BF0"/>
    <w:rsid w:val="00221EE3"/>
    <w:rsid w:val="002224E9"/>
    <w:rsid w:val="002225EE"/>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A2E"/>
    <w:rsid w:val="00227FC6"/>
    <w:rsid w:val="00230258"/>
    <w:rsid w:val="00230A8D"/>
    <w:rsid w:val="00230D46"/>
    <w:rsid w:val="0023147D"/>
    <w:rsid w:val="002316C8"/>
    <w:rsid w:val="00231722"/>
    <w:rsid w:val="002317E6"/>
    <w:rsid w:val="00231860"/>
    <w:rsid w:val="00231A8E"/>
    <w:rsid w:val="00231F5D"/>
    <w:rsid w:val="0023213B"/>
    <w:rsid w:val="002322B3"/>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280"/>
    <w:rsid w:val="00236955"/>
    <w:rsid w:val="0023696B"/>
    <w:rsid w:val="0023798F"/>
    <w:rsid w:val="00240210"/>
    <w:rsid w:val="0024074A"/>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400A"/>
    <w:rsid w:val="002441F5"/>
    <w:rsid w:val="002443EC"/>
    <w:rsid w:val="0024464D"/>
    <w:rsid w:val="00244BFC"/>
    <w:rsid w:val="00244CBB"/>
    <w:rsid w:val="00244D56"/>
    <w:rsid w:val="00245273"/>
    <w:rsid w:val="00245457"/>
    <w:rsid w:val="0024580C"/>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55C8"/>
    <w:rsid w:val="00255906"/>
    <w:rsid w:val="00255A67"/>
    <w:rsid w:val="00255B06"/>
    <w:rsid w:val="00255E82"/>
    <w:rsid w:val="0025612F"/>
    <w:rsid w:val="002565B0"/>
    <w:rsid w:val="00256790"/>
    <w:rsid w:val="00256B3C"/>
    <w:rsid w:val="00256B75"/>
    <w:rsid w:val="00256C66"/>
    <w:rsid w:val="00256E7A"/>
    <w:rsid w:val="002570B2"/>
    <w:rsid w:val="00257395"/>
    <w:rsid w:val="00257654"/>
    <w:rsid w:val="00257EA8"/>
    <w:rsid w:val="00257F71"/>
    <w:rsid w:val="00260204"/>
    <w:rsid w:val="00260225"/>
    <w:rsid w:val="00260AE1"/>
    <w:rsid w:val="00260F91"/>
    <w:rsid w:val="002613BD"/>
    <w:rsid w:val="00261929"/>
    <w:rsid w:val="00261E4D"/>
    <w:rsid w:val="00261E68"/>
    <w:rsid w:val="00262411"/>
    <w:rsid w:val="0026259F"/>
    <w:rsid w:val="00262672"/>
    <w:rsid w:val="002629F8"/>
    <w:rsid w:val="00262CDF"/>
    <w:rsid w:val="00262DDB"/>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1E"/>
    <w:rsid w:val="00265E6E"/>
    <w:rsid w:val="00266290"/>
    <w:rsid w:val="002669EA"/>
    <w:rsid w:val="00266A4A"/>
    <w:rsid w:val="00266D3C"/>
    <w:rsid w:val="00267203"/>
    <w:rsid w:val="0026745E"/>
    <w:rsid w:val="00267A3B"/>
    <w:rsid w:val="00267B0C"/>
    <w:rsid w:val="00267B49"/>
    <w:rsid w:val="00267D5C"/>
    <w:rsid w:val="00267F03"/>
    <w:rsid w:val="00270514"/>
    <w:rsid w:val="00270580"/>
    <w:rsid w:val="002709D0"/>
    <w:rsid w:val="00270C18"/>
    <w:rsid w:val="00270D24"/>
    <w:rsid w:val="002710BD"/>
    <w:rsid w:val="00271291"/>
    <w:rsid w:val="002714A1"/>
    <w:rsid w:val="00271705"/>
    <w:rsid w:val="00271CD6"/>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0FA"/>
    <w:rsid w:val="0027419C"/>
    <w:rsid w:val="00274524"/>
    <w:rsid w:val="002750F6"/>
    <w:rsid w:val="002751BC"/>
    <w:rsid w:val="00275241"/>
    <w:rsid w:val="0027543F"/>
    <w:rsid w:val="0027565E"/>
    <w:rsid w:val="00275798"/>
    <w:rsid w:val="0027586B"/>
    <w:rsid w:val="00275DD6"/>
    <w:rsid w:val="0027606D"/>
    <w:rsid w:val="00276102"/>
    <w:rsid w:val="00276202"/>
    <w:rsid w:val="0027671E"/>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3C5"/>
    <w:rsid w:val="0028248C"/>
    <w:rsid w:val="00282D2E"/>
    <w:rsid w:val="00282FF3"/>
    <w:rsid w:val="00283BAA"/>
    <w:rsid w:val="0028444B"/>
    <w:rsid w:val="00284A30"/>
    <w:rsid w:val="00284AE7"/>
    <w:rsid w:val="00285375"/>
    <w:rsid w:val="002858A7"/>
    <w:rsid w:val="00285930"/>
    <w:rsid w:val="002860A4"/>
    <w:rsid w:val="00286402"/>
    <w:rsid w:val="002876E4"/>
    <w:rsid w:val="002877DB"/>
    <w:rsid w:val="00287A4C"/>
    <w:rsid w:val="00287C62"/>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240"/>
    <w:rsid w:val="002A13FE"/>
    <w:rsid w:val="002A1477"/>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0C"/>
    <w:rsid w:val="002B1982"/>
    <w:rsid w:val="002B1E1A"/>
    <w:rsid w:val="002B1E40"/>
    <w:rsid w:val="002B20BD"/>
    <w:rsid w:val="002B2121"/>
    <w:rsid w:val="002B22E9"/>
    <w:rsid w:val="002B308E"/>
    <w:rsid w:val="002B313C"/>
    <w:rsid w:val="002B32BC"/>
    <w:rsid w:val="002B3444"/>
    <w:rsid w:val="002B3AE7"/>
    <w:rsid w:val="002B3D7A"/>
    <w:rsid w:val="002B471B"/>
    <w:rsid w:val="002B4D20"/>
    <w:rsid w:val="002B5078"/>
    <w:rsid w:val="002B50B6"/>
    <w:rsid w:val="002B5324"/>
    <w:rsid w:val="002B5369"/>
    <w:rsid w:val="002B53E6"/>
    <w:rsid w:val="002B583B"/>
    <w:rsid w:val="002B5CAE"/>
    <w:rsid w:val="002B5FDD"/>
    <w:rsid w:val="002B6095"/>
    <w:rsid w:val="002B6B7B"/>
    <w:rsid w:val="002B6BDA"/>
    <w:rsid w:val="002B6C0C"/>
    <w:rsid w:val="002B6F8C"/>
    <w:rsid w:val="002B70C5"/>
    <w:rsid w:val="002B74C3"/>
    <w:rsid w:val="002B7544"/>
    <w:rsid w:val="002B77AE"/>
    <w:rsid w:val="002B7993"/>
    <w:rsid w:val="002B7AEC"/>
    <w:rsid w:val="002B7CE5"/>
    <w:rsid w:val="002B7DEB"/>
    <w:rsid w:val="002B7F9C"/>
    <w:rsid w:val="002C06C6"/>
    <w:rsid w:val="002C09DB"/>
    <w:rsid w:val="002C0F83"/>
    <w:rsid w:val="002C0F9E"/>
    <w:rsid w:val="002C102E"/>
    <w:rsid w:val="002C132D"/>
    <w:rsid w:val="002C19C1"/>
    <w:rsid w:val="002C1A58"/>
    <w:rsid w:val="002C1C28"/>
    <w:rsid w:val="002C1DC6"/>
    <w:rsid w:val="002C23BC"/>
    <w:rsid w:val="002C292A"/>
    <w:rsid w:val="002C2E56"/>
    <w:rsid w:val="002C3E87"/>
    <w:rsid w:val="002C47EF"/>
    <w:rsid w:val="002C48CD"/>
    <w:rsid w:val="002C4A64"/>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B17"/>
    <w:rsid w:val="002D1EED"/>
    <w:rsid w:val="002D2261"/>
    <w:rsid w:val="002D230A"/>
    <w:rsid w:val="002D29A2"/>
    <w:rsid w:val="002D3162"/>
    <w:rsid w:val="002D357A"/>
    <w:rsid w:val="002D37FB"/>
    <w:rsid w:val="002D3DCA"/>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56"/>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B7F"/>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D1"/>
    <w:rsid w:val="002F39E6"/>
    <w:rsid w:val="002F3B66"/>
    <w:rsid w:val="002F3BA6"/>
    <w:rsid w:val="002F3C76"/>
    <w:rsid w:val="002F3C9C"/>
    <w:rsid w:val="002F3DB9"/>
    <w:rsid w:val="002F3E00"/>
    <w:rsid w:val="002F48D4"/>
    <w:rsid w:val="002F4A79"/>
    <w:rsid w:val="002F4B3B"/>
    <w:rsid w:val="002F4BE1"/>
    <w:rsid w:val="002F4C2D"/>
    <w:rsid w:val="002F5307"/>
    <w:rsid w:val="002F5405"/>
    <w:rsid w:val="002F566B"/>
    <w:rsid w:val="002F5C83"/>
    <w:rsid w:val="002F5D86"/>
    <w:rsid w:val="002F62BA"/>
    <w:rsid w:val="002F6492"/>
    <w:rsid w:val="002F71DC"/>
    <w:rsid w:val="002F7255"/>
    <w:rsid w:val="002F7310"/>
    <w:rsid w:val="002F743A"/>
    <w:rsid w:val="002F75B7"/>
    <w:rsid w:val="002F7782"/>
    <w:rsid w:val="002F7840"/>
    <w:rsid w:val="002F7A2D"/>
    <w:rsid w:val="002F7A81"/>
    <w:rsid w:val="002F7D55"/>
    <w:rsid w:val="002F7DE1"/>
    <w:rsid w:val="002F7FCF"/>
    <w:rsid w:val="00300B2B"/>
    <w:rsid w:val="003014C2"/>
    <w:rsid w:val="0030186A"/>
    <w:rsid w:val="00301D91"/>
    <w:rsid w:val="00301DF9"/>
    <w:rsid w:val="00302052"/>
    <w:rsid w:val="0030207A"/>
    <w:rsid w:val="003024D4"/>
    <w:rsid w:val="003025DC"/>
    <w:rsid w:val="003026FF"/>
    <w:rsid w:val="00302753"/>
    <w:rsid w:val="0030283C"/>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E6"/>
    <w:rsid w:val="00305B0B"/>
    <w:rsid w:val="00305C59"/>
    <w:rsid w:val="00306202"/>
    <w:rsid w:val="0030625D"/>
    <w:rsid w:val="00306478"/>
    <w:rsid w:val="00306585"/>
    <w:rsid w:val="003065A2"/>
    <w:rsid w:val="00306774"/>
    <w:rsid w:val="00306AED"/>
    <w:rsid w:val="00306B9C"/>
    <w:rsid w:val="00306C3E"/>
    <w:rsid w:val="00306DEC"/>
    <w:rsid w:val="00307AD9"/>
    <w:rsid w:val="00307D23"/>
    <w:rsid w:val="00310009"/>
    <w:rsid w:val="00310218"/>
    <w:rsid w:val="003105A8"/>
    <w:rsid w:val="00310B4F"/>
    <w:rsid w:val="00310C3C"/>
    <w:rsid w:val="00310DCF"/>
    <w:rsid w:val="003110CC"/>
    <w:rsid w:val="003113CA"/>
    <w:rsid w:val="0031166B"/>
    <w:rsid w:val="00311FE0"/>
    <w:rsid w:val="00312235"/>
    <w:rsid w:val="00312244"/>
    <w:rsid w:val="00312853"/>
    <w:rsid w:val="003128C9"/>
    <w:rsid w:val="00312DA4"/>
    <w:rsid w:val="003138BE"/>
    <w:rsid w:val="00314255"/>
    <w:rsid w:val="00314671"/>
    <w:rsid w:val="00314EAA"/>
    <w:rsid w:val="00315D82"/>
    <w:rsid w:val="00315DAC"/>
    <w:rsid w:val="0031619F"/>
    <w:rsid w:val="003163F9"/>
    <w:rsid w:val="003166CA"/>
    <w:rsid w:val="003169F0"/>
    <w:rsid w:val="0031716E"/>
    <w:rsid w:val="00317B06"/>
    <w:rsid w:val="00317F22"/>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2C9D"/>
    <w:rsid w:val="00323337"/>
    <w:rsid w:val="003237A4"/>
    <w:rsid w:val="00323854"/>
    <w:rsid w:val="00323AD7"/>
    <w:rsid w:val="00323D23"/>
    <w:rsid w:val="00324187"/>
    <w:rsid w:val="0032453C"/>
    <w:rsid w:val="00324594"/>
    <w:rsid w:val="00324DE0"/>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6F6B"/>
    <w:rsid w:val="0032709F"/>
    <w:rsid w:val="00327660"/>
    <w:rsid w:val="003279E9"/>
    <w:rsid w:val="00330013"/>
    <w:rsid w:val="0033075E"/>
    <w:rsid w:val="0033098B"/>
    <w:rsid w:val="0033115C"/>
    <w:rsid w:val="0033116E"/>
    <w:rsid w:val="00331257"/>
    <w:rsid w:val="00331502"/>
    <w:rsid w:val="003316A1"/>
    <w:rsid w:val="00331730"/>
    <w:rsid w:val="00331DF1"/>
    <w:rsid w:val="00331E0D"/>
    <w:rsid w:val="0033240E"/>
    <w:rsid w:val="003327E3"/>
    <w:rsid w:val="00332AF9"/>
    <w:rsid w:val="00332DA5"/>
    <w:rsid w:val="0033326B"/>
    <w:rsid w:val="00334077"/>
    <w:rsid w:val="0033427B"/>
    <w:rsid w:val="003342F3"/>
    <w:rsid w:val="003342FF"/>
    <w:rsid w:val="003347BF"/>
    <w:rsid w:val="00334B34"/>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BD5"/>
    <w:rsid w:val="00340CD9"/>
    <w:rsid w:val="00340D9E"/>
    <w:rsid w:val="00340FFC"/>
    <w:rsid w:val="00341064"/>
    <w:rsid w:val="00341DD2"/>
    <w:rsid w:val="0034257B"/>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D1F"/>
    <w:rsid w:val="00350DD7"/>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0906"/>
    <w:rsid w:val="003613E6"/>
    <w:rsid w:val="003618D5"/>
    <w:rsid w:val="00361A3E"/>
    <w:rsid w:val="00361C1E"/>
    <w:rsid w:val="00361C6B"/>
    <w:rsid w:val="003620EC"/>
    <w:rsid w:val="00362B63"/>
    <w:rsid w:val="00362D63"/>
    <w:rsid w:val="00362FF9"/>
    <w:rsid w:val="003630CA"/>
    <w:rsid w:val="0036383B"/>
    <w:rsid w:val="00363BC1"/>
    <w:rsid w:val="00363E1B"/>
    <w:rsid w:val="00363F86"/>
    <w:rsid w:val="0036455D"/>
    <w:rsid w:val="00364C76"/>
    <w:rsid w:val="00364CF2"/>
    <w:rsid w:val="003650DD"/>
    <w:rsid w:val="0036511F"/>
    <w:rsid w:val="0036552F"/>
    <w:rsid w:val="003656FC"/>
    <w:rsid w:val="00365F00"/>
    <w:rsid w:val="00365F5E"/>
    <w:rsid w:val="0036622D"/>
    <w:rsid w:val="00367107"/>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5BB4"/>
    <w:rsid w:val="00376A76"/>
    <w:rsid w:val="00376B85"/>
    <w:rsid w:val="00376C61"/>
    <w:rsid w:val="00377020"/>
    <w:rsid w:val="00377940"/>
    <w:rsid w:val="00377973"/>
    <w:rsid w:val="00377B6D"/>
    <w:rsid w:val="00377D26"/>
    <w:rsid w:val="00377DAA"/>
    <w:rsid w:val="003801A2"/>
    <w:rsid w:val="00380280"/>
    <w:rsid w:val="00380342"/>
    <w:rsid w:val="00380856"/>
    <w:rsid w:val="0038098A"/>
    <w:rsid w:val="00380DEC"/>
    <w:rsid w:val="00380EBB"/>
    <w:rsid w:val="00380F4F"/>
    <w:rsid w:val="003810D9"/>
    <w:rsid w:val="003818B5"/>
    <w:rsid w:val="00381B47"/>
    <w:rsid w:val="00381DE9"/>
    <w:rsid w:val="00381F4C"/>
    <w:rsid w:val="00382284"/>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D3F"/>
    <w:rsid w:val="003911EA"/>
    <w:rsid w:val="0039137B"/>
    <w:rsid w:val="00391581"/>
    <w:rsid w:val="003919B9"/>
    <w:rsid w:val="00391EAA"/>
    <w:rsid w:val="00392203"/>
    <w:rsid w:val="00392413"/>
    <w:rsid w:val="003927B5"/>
    <w:rsid w:val="003927D1"/>
    <w:rsid w:val="00393119"/>
    <w:rsid w:val="00393246"/>
    <w:rsid w:val="003936D8"/>
    <w:rsid w:val="00393A44"/>
    <w:rsid w:val="00394315"/>
    <w:rsid w:val="00394630"/>
    <w:rsid w:val="003950F0"/>
    <w:rsid w:val="00395492"/>
    <w:rsid w:val="003954D7"/>
    <w:rsid w:val="00395DDA"/>
    <w:rsid w:val="00395EDD"/>
    <w:rsid w:val="00396238"/>
    <w:rsid w:val="00396639"/>
    <w:rsid w:val="003968F9"/>
    <w:rsid w:val="00396A8A"/>
    <w:rsid w:val="00396AD2"/>
    <w:rsid w:val="00396C18"/>
    <w:rsid w:val="00396C4C"/>
    <w:rsid w:val="0039741D"/>
    <w:rsid w:val="00397474"/>
    <w:rsid w:val="00397539"/>
    <w:rsid w:val="003978EA"/>
    <w:rsid w:val="003979C2"/>
    <w:rsid w:val="003A008F"/>
    <w:rsid w:val="003A05B4"/>
    <w:rsid w:val="003A0A10"/>
    <w:rsid w:val="003A0A63"/>
    <w:rsid w:val="003A0D45"/>
    <w:rsid w:val="003A0EC3"/>
    <w:rsid w:val="003A12A5"/>
    <w:rsid w:val="003A13B8"/>
    <w:rsid w:val="003A1475"/>
    <w:rsid w:val="003A147F"/>
    <w:rsid w:val="003A192A"/>
    <w:rsid w:val="003A1995"/>
    <w:rsid w:val="003A1B37"/>
    <w:rsid w:val="003A2543"/>
    <w:rsid w:val="003A2CBE"/>
    <w:rsid w:val="003A2E0B"/>
    <w:rsid w:val="003A3352"/>
    <w:rsid w:val="003A34C0"/>
    <w:rsid w:val="003A358A"/>
    <w:rsid w:val="003A4154"/>
    <w:rsid w:val="003A4979"/>
    <w:rsid w:val="003A4AC1"/>
    <w:rsid w:val="003A4E81"/>
    <w:rsid w:val="003A4ECF"/>
    <w:rsid w:val="003A50BC"/>
    <w:rsid w:val="003A512C"/>
    <w:rsid w:val="003A539E"/>
    <w:rsid w:val="003A53CD"/>
    <w:rsid w:val="003A55FD"/>
    <w:rsid w:val="003A56B4"/>
    <w:rsid w:val="003A58C8"/>
    <w:rsid w:val="003A60AD"/>
    <w:rsid w:val="003A6173"/>
    <w:rsid w:val="003A639C"/>
    <w:rsid w:val="003A63A9"/>
    <w:rsid w:val="003A656E"/>
    <w:rsid w:val="003A679D"/>
    <w:rsid w:val="003A6853"/>
    <w:rsid w:val="003A68D4"/>
    <w:rsid w:val="003A6C5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0B2F"/>
    <w:rsid w:val="003D1690"/>
    <w:rsid w:val="003D1731"/>
    <w:rsid w:val="003D1D9B"/>
    <w:rsid w:val="003D20F1"/>
    <w:rsid w:val="003D21AF"/>
    <w:rsid w:val="003D24B4"/>
    <w:rsid w:val="003D24EA"/>
    <w:rsid w:val="003D25C9"/>
    <w:rsid w:val="003D2D19"/>
    <w:rsid w:val="003D2E30"/>
    <w:rsid w:val="003D304B"/>
    <w:rsid w:val="003D3650"/>
    <w:rsid w:val="003D37C6"/>
    <w:rsid w:val="003D4006"/>
    <w:rsid w:val="003D45F8"/>
    <w:rsid w:val="003D4847"/>
    <w:rsid w:val="003D4B68"/>
    <w:rsid w:val="003D53D8"/>
    <w:rsid w:val="003D5461"/>
    <w:rsid w:val="003D566F"/>
    <w:rsid w:val="003D5A09"/>
    <w:rsid w:val="003D5FC7"/>
    <w:rsid w:val="003D62DF"/>
    <w:rsid w:val="003D640F"/>
    <w:rsid w:val="003D6BFE"/>
    <w:rsid w:val="003D6C91"/>
    <w:rsid w:val="003D6FBE"/>
    <w:rsid w:val="003D72EC"/>
    <w:rsid w:val="003D78FE"/>
    <w:rsid w:val="003D7A69"/>
    <w:rsid w:val="003D7BFB"/>
    <w:rsid w:val="003D7CA3"/>
    <w:rsid w:val="003E02F5"/>
    <w:rsid w:val="003E03C1"/>
    <w:rsid w:val="003E0ADC"/>
    <w:rsid w:val="003E0E21"/>
    <w:rsid w:val="003E112D"/>
    <w:rsid w:val="003E11F3"/>
    <w:rsid w:val="003E133D"/>
    <w:rsid w:val="003E1380"/>
    <w:rsid w:val="003E1A8B"/>
    <w:rsid w:val="003E1FFF"/>
    <w:rsid w:val="003E2E8D"/>
    <w:rsid w:val="003E30A1"/>
    <w:rsid w:val="003E316F"/>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62F"/>
    <w:rsid w:val="003F4828"/>
    <w:rsid w:val="003F48CC"/>
    <w:rsid w:val="003F498C"/>
    <w:rsid w:val="003F5429"/>
    <w:rsid w:val="003F555C"/>
    <w:rsid w:val="003F5AC1"/>
    <w:rsid w:val="003F5D34"/>
    <w:rsid w:val="003F5E04"/>
    <w:rsid w:val="003F62F9"/>
    <w:rsid w:val="003F6579"/>
    <w:rsid w:val="003F67B2"/>
    <w:rsid w:val="003F6B03"/>
    <w:rsid w:val="003F7A6A"/>
    <w:rsid w:val="003F7B80"/>
    <w:rsid w:val="003F7B94"/>
    <w:rsid w:val="003F7CEE"/>
    <w:rsid w:val="003F7D43"/>
    <w:rsid w:val="003F7F99"/>
    <w:rsid w:val="004010BB"/>
    <w:rsid w:val="004010BF"/>
    <w:rsid w:val="00401112"/>
    <w:rsid w:val="0040113A"/>
    <w:rsid w:val="00401672"/>
    <w:rsid w:val="004018A1"/>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C71"/>
    <w:rsid w:val="00407DC9"/>
    <w:rsid w:val="00410063"/>
    <w:rsid w:val="0041022E"/>
    <w:rsid w:val="0041072C"/>
    <w:rsid w:val="004107B3"/>
    <w:rsid w:val="004108AC"/>
    <w:rsid w:val="00410C6C"/>
    <w:rsid w:val="004112B5"/>
    <w:rsid w:val="004115F0"/>
    <w:rsid w:val="00411700"/>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255"/>
    <w:rsid w:val="00420481"/>
    <w:rsid w:val="00420579"/>
    <w:rsid w:val="00420C38"/>
    <w:rsid w:val="00420E59"/>
    <w:rsid w:val="00420F4B"/>
    <w:rsid w:val="00421176"/>
    <w:rsid w:val="0042132E"/>
    <w:rsid w:val="004214C4"/>
    <w:rsid w:val="00421638"/>
    <w:rsid w:val="004218DB"/>
    <w:rsid w:val="0042196F"/>
    <w:rsid w:val="00421B0D"/>
    <w:rsid w:val="00421E29"/>
    <w:rsid w:val="00422861"/>
    <w:rsid w:val="00423360"/>
    <w:rsid w:val="004236D4"/>
    <w:rsid w:val="004237F2"/>
    <w:rsid w:val="00424749"/>
    <w:rsid w:val="00424996"/>
    <w:rsid w:val="00425072"/>
    <w:rsid w:val="00425130"/>
    <w:rsid w:val="0042526D"/>
    <w:rsid w:val="00425427"/>
    <w:rsid w:val="00425BBC"/>
    <w:rsid w:val="00425C12"/>
    <w:rsid w:val="00425E3D"/>
    <w:rsid w:val="00425F96"/>
    <w:rsid w:val="00426840"/>
    <w:rsid w:val="00426C41"/>
    <w:rsid w:val="00426EE1"/>
    <w:rsid w:val="0042710B"/>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0EB"/>
    <w:rsid w:val="00440214"/>
    <w:rsid w:val="0044032B"/>
    <w:rsid w:val="004403BC"/>
    <w:rsid w:val="004404AC"/>
    <w:rsid w:val="0044083B"/>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C5B"/>
    <w:rsid w:val="0045458D"/>
    <w:rsid w:val="004545BD"/>
    <w:rsid w:val="00454765"/>
    <w:rsid w:val="00454941"/>
    <w:rsid w:val="00454F00"/>
    <w:rsid w:val="00455172"/>
    <w:rsid w:val="00455250"/>
    <w:rsid w:val="0045525B"/>
    <w:rsid w:val="0045531B"/>
    <w:rsid w:val="0045535D"/>
    <w:rsid w:val="004558E9"/>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7F"/>
    <w:rsid w:val="00457F94"/>
    <w:rsid w:val="00457FAD"/>
    <w:rsid w:val="00460131"/>
    <w:rsid w:val="0046019B"/>
    <w:rsid w:val="0046033E"/>
    <w:rsid w:val="00460AD3"/>
    <w:rsid w:val="00460BE5"/>
    <w:rsid w:val="004611B7"/>
    <w:rsid w:val="00461563"/>
    <w:rsid w:val="004619F8"/>
    <w:rsid w:val="00461EBD"/>
    <w:rsid w:val="00461F18"/>
    <w:rsid w:val="004622A4"/>
    <w:rsid w:val="00462605"/>
    <w:rsid w:val="004627EE"/>
    <w:rsid w:val="00462A06"/>
    <w:rsid w:val="00462C92"/>
    <w:rsid w:val="00462D0F"/>
    <w:rsid w:val="00462F4D"/>
    <w:rsid w:val="00463ABA"/>
    <w:rsid w:val="0046442A"/>
    <w:rsid w:val="00464752"/>
    <w:rsid w:val="00464BA4"/>
    <w:rsid w:val="0046502D"/>
    <w:rsid w:val="004658F0"/>
    <w:rsid w:val="00466468"/>
    <w:rsid w:val="004668C2"/>
    <w:rsid w:val="00466EFD"/>
    <w:rsid w:val="00467497"/>
    <w:rsid w:val="0046753C"/>
    <w:rsid w:val="004676F8"/>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369"/>
    <w:rsid w:val="00476405"/>
    <w:rsid w:val="0047669F"/>
    <w:rsid w:val="004767D0"/>
    <w:rsid w:val="0047695C"/>
    <w:rsid w:val="00476ECD"/>
    <w:rsid w:val="0047776B"/>
    <w:rsid w:val="00477CB9"/>
    <w:rsid w:val="00477E9E"/>
    <w:rsid w:val="00477EF2"/>
    <w:rsid w:val="00480468"/>
    <w:rsid w:val="00480560"/>
    <w:rsid w:val="004807C5"/>
    <w:rsid w:val="00480D12"/>
    <w:rsid w:val="00480D97"/>
    <w:rsid w:val="004812EC"/>
    <w:rsid w:val="0048170A"/>
    <w:rsid w:val="00481D77"/>
    <w:rsid w:val="004821FF"/>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87C"/>
    <w:rsid w:val="00486AB7"/>
    <w:rsid w:val="00486CC0"/>
    <w:rsid w:val="00486D91"/>
    <w:rsid w:val="00486FF9"/>
    <w:rsid w:val="00487251"/>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2EF4"/>
    <w:rsid w:val="004A382D"/>
    <w:rsid w:val="004A3AE3"/>
    <w:rsid w:val="004A3EAC"/>
    <w:rsid w:val="004A3FB3"/>
    <w:rsid w:val="004A4210"/>
    <w:rsid w:val="004A4748"/>
    <w:rsid w:val="004A4810"/>
    <w:rsid w:val="004A4A75"/>
    <w:rsid w:val="004A4AF8"/>
    <w:rsid w:val="004A4D62"/>
    <w:rsid w:val="004A5B0A"/>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D1F"/>
    <w:rsid w:val="004B201B"/>
    <w:rsid w:val="004B2362"/>
    <w:rsid w:val="004B23D3"/>
    <w:rsid w:val="004B24D2"/>
    <w:rsid w:val="004B26B1"/>
    <w:rsid w:val="004B2857"/>
    <w:rsid w:val="004B297F"/>
    <w:rsid w:val="004B2D3D"/>
    <w:rsid w:val="004B304E"/>
    <w:rsid w:val="004B3191"/>
    <w:rsid w:val="004B31A6"/>
    <w:rsid w:val="004B3771"/>
    <w:rsid w:val="004B3A33"/>
    <w:rsid w:val="004B3C5C"/>
    <w:rsid w:val="004B4293"/>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6ED2"/>
    <w:rsid w:val="004B726F"/>
    <w:rsid w:val="004B7364"/>
    <w:rsid w:val="004B7510"/>
    <w:rsid w:val="004B7534"/>
    <w:rsid w:val="004B7641"/>
    <w:rsid w:val="004B773A"/>
    <w:rsid w:val="004B7A21"/>
    <w:rsid w:val="004B7F39"/>
    <w:rsid w:val="004B7FB6"/>
    <w:rsid w:val="004C00FA"/>
    <w:rsid w:val="004C01FF"/>
    <w:rsid w:val="004C0E96"/>
    <w:rsid w:val="004C0FE8"/>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4AA"/>
    <w:rsid w:val="004C6A38"/>
    <w:rsid w:val="004C6A7F"/>
    <w:rsid w:val="004C6B27"/>
    <w:rsid w:val="004C6C7E"/>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6E4"/>
    <w:rsid w:val="004D1853"/>
    <w:rsid w:val="004D1F31"/>
    <w:rsid w:val="004D2B25"/>
    <w:rsid w:val="004D2CDF"/>
    <w:rsid w:val="004D2F2C"/>
    <w:rsid w:val="004D34AB"/>
    <w:rsid w:val="004D35AD"/>
    <w:rsid w:val="004D38AD"/>
    <w:rsid w:val="004D3922"/>
    <w:rsid w:val="004D3DF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41"/>
    <w:rsid w:val="004E41BD"/>
    <w:rsid w:val="004E41DD"/>
    <w:rsid w:val="004E470E"/>
    <w:rsid w:val="004E4801"/>
    <w:rsid w:val="004E4831"/>
    <w:rsid w:val="004E48AE"/>
    <w:rsid w:val="004E4C72"/>
    <w:rsid w:val="004E4CA1"/>
    <w:rsid w:val="004E4E15"/>
    <w:rsid w:val="004E4FDD"/>
    <w:rsid w:val="004E5463"/>
    <w:rsid w:val="004E575B"/>
    <w:rsid w:val="004E591E"/>
    <w:rsid w:val="004E5C79"/>
    <w:rsid w:val="004E6253"/>
    <w:rsid w:val="004E6A7A"/>
    <w:rsid w:val="004E6C51"/>
    <w:rsid w:val="004E6E0F"/>
    <w:rsid w:val="004E6FCF"/>
    <w:rsid w:val="004E772C"/>
    <w:rsid w:val="004F06EA"/>
    <w:rsid w:val="004F090D"/>
    <w:rsid w:val="004F0DB8"/>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7D2"/>
    <w:rsid w:val="00505C32"/>
    <w:rsid w:val="00506154"/>
    <w:rsid w:val="0050634D"/>
    <w:rsid w:val="00506710"/>
    <w:rsid w:val="00506795"/>
    <w:rsid w:val="00506B2F"/>
    <w:rsid w:val="00506BD0"/>
    <w:rsid w:val="00506DC6"/>
    <w:rsid w:val="00506E5C"/>
    <w:rsid w:val="005075B8"/>
    <w:rsid w:val="0051013A"/>
    <w:rsid w:val="0051018B"/>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E2B"/>
    <w:rsid w:val="005200E7"/>
    <w:rsid w:val="0052014E"/>
    <w:rsid w:val="00520394"/>
    <w:rsid w:val="00520804"/>
    <w:rsid w:val="005211B6"/>
    <w:rsid w:val="00521505"/>
    <w:rsid w:val="00521D36"/>
    <w:rsid w:val="00521ECC"/>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1"/>
    <w:rsid w:val="005335E6"/>
    <w:rsid w:val="00533690"/>
    <w:rsid w:val="005339EF"/>
    <w:rsid w:val="00533A28"/>
    <w:rsid w:val="00533F7C"/>
    <w:rsid w:val="00534502"/>
    <w:rsid w:val="00534585"/>
    <w:rsid w:val="005346AB"/>
    <w:rsid w:val="00534819"/>
    <w:rsid w:val="00535011"/>
    <w:rsid w:val="005352FD"/>
    <w:rsid w:val="00535746"/>
    <w:rsid w:val="00535BF5"/>
    <w:rsid w:val="005361AA"/>
    <w:rsid w:val="0053651E"/>
    <w:rsid w:val="005367DB"/>
    <w:rsid w:val="00537301"/>
    <w:rsid w:val="005373C5"/>
    <w:rsid w:val="005375A7"/>
    <w:rsid w:val="005378D7"/>
    <w:rsid w:val="00537AF1"/>
    <w:rsid w:val="00537E9A"/>
    <w:rsid w:val="005401BB"/>
    <w:rsid w:val="00540D7B"/>
    <w:rsid w:val="00540FF2"/>
    <w:rsid w:val="00541179"/>
    <w:rsid w:val="00541584"/>
    <w:rsid w:val="00541A2F"/>
    <w:rsid w:val="00541AF5"/>
    <w:rsid w:val="00541B28"/>
    <w:rsid w:val="00541B84"/>
    <w:rsid w:val="00541F2E"/>
    <w:rsid w:val="00542601"/>
    <w:rsid w:val="00542610"/>
    <w:rsid w:val="005428CB"/>
    <w:rsid w:val="00542CDF"/>
    <w:rsid w:val="00543036"/>
    <w:rsid w:val="0054303A"/>
    <w:rsid w:val="005431E7"/>
    <w:rsid w:val="00543807"/>
    <w:rsid w:val="00543988"/>
    <w:rsid w:val="00543B41"/>
    <w:rsid w:val="00543E18"/>
    <w:rsid w:val="00543E5E"/>
    <w:rsid w:val="005440B8"/>
    <w:rsid w:val="00544F62"/>
    <w:rsid w:val="005451F0"/>
    <w:rsid w:val="0054568E"/>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0942"/>
    <w:rsid w:val="00551076"/>
    <w:rsid w:val="0055116C"/>
    <w:rsid w:val="0055119F"/>
    <w:rsid w:val="0055136B"/>
    <w:rsid w:val="005516D9"/>
    <w:rsid w:val="00551D8D"/>
    <w:rsid w:val="0055246D"/>
    <w:rsid w:val="00552FEF"/>
    <w:rsid w:val="005531F5"/>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6E0"/>
    <w:rsid w:val="00555C0D"/>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6595"/>
    <w:rsid w:val="0056664E"/>
    <w:rsid w:val="00567355"/>
    <w:rsid w:val="0056749A"/>
    <w:rsid w:val="005679D7"/>
    <w:rsid w:val="0057005B"/>
    <w:rsid w:val="005700BF"/>
    <w:rsid w:val="00570114"/>
    <w:rsid w:val="00570696"/>
    <w:rsid w:val="00570A46"/>
    <w:rsid w:val="00571052"/>
    <w:rsid w:val="0057115B"/>
    <w:rsid w:val="00571181"/>
    <w:rsid w:val="00571512"/>
    <w:rsid w:val="00571552"/>
    <w:rsid w:val="0057179C"/>
    <w:rsid w:val="00571CB5"/>
    <w:rsid w:val="00572494"/>
    <w:rsid w:val="00572C95"/>
    <w:rsid w:val="00572FED"/>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C69"/>
    <w:rsid w:val="00581D3B"/>
    <w:rsid w:val="00582237"/>
    <w:rsid w:val="0058256F"/>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4A6"/>
    <w:rsid w:val="0058655D"/>
    <w:rsid w:val="00586856"/>
    <w:rsid w:val="00586B2A"/>
    <w:rsid w:val="00586E84"/>
    <w:rsid w:val="0058709F"/>
    <w:rsid w:val="005871AC"/>
    <w:rsid w:val="005871CA"/>
    <w:rsid w:val="005875A9"/>
    <w:rsid w:val="005876B0"/>
    <w:rsid w:val="0058770C"/>
    <w:rsid w:val="00587A1C"/>
    <w:rsid w:val="00590450"/>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6A"/>
    <w:rsid w:val="005973F0"/>
    <w:rsid w:val="0059741B"/>
    <w:rsid w:val="005976BD"/>
    <w:rsid w:val="00597B94"/>
    <w:rsid w:val="00597C44"/>
    <w:rsid w:val="00597F7B"/>
    <w:rsid w:val="005A00E0"/>
    <w:rsid w:val="005A0501"/>
    <w:rsid w:val="005A064D"/>
    <w:rsid w:val="005A070C"/>
    <w:rsid w:val="005A0E31"/>
    <w:rsid w:val="005A1AAF"/>
    <w:rsid w:val="005A233F"/>
    <w:rsid w:val="005A284E"/>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C75"/>
    <w:rsid w:val="005B2ECD"/>
    <w:rsid w:val="005B2ED7"/>
    <w:rsid w:val="005B2FCA"/>
    <w:rsid w:val="005B335D"/>
    <w:rsid w:val="005B34A6"/>
    <w:rsid w:val="005B3B59"/>
    <w:rsid w:val="005B3C48"/>
    <w:rsid w:val="005B4248"/>
    <w:rsid w:val="005B4259"/>
    <w:rsid w:val="005B4B6C"/>
    <w:rsid w:val="005B509E"/>
    <w:rsid w:val="005B5298"/>
    <w:rsid w:val="005B5379"/>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B57"/>
    <w:rsid w:val="005C25BB"/>
    <w:rsid w:val="005C2B46"/>
    <w:rsid w:val="005C2BC6"/>
    <w:rsid w:val="005C2EF9"/>
    <w:rsid w:val="005C2F60"/>
    <w:rsid w:val="005C3694"/>
    <w:rsid w:val="005C38A9"/>
    <w:rsid w:val="005C3DD1"/>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032"/>
    <w:rsid w:val="005D21A9"/>
    <w:rsid w:val="005D286A"/>
    <w:rsid w:val="005D295E"/>
    <w:rsid w:val="005D29F9"/>
    <w:rsid w:val="005D2B4A"/>
    <w:rsid w:val="005D2F6B"/>
    <w:rsid w:val="005D316E"/>
    <w:rsid w:val="005D330B"/>
    <w:rsid w:val="005D33A6"/>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EF8"/>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466"/>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593A"/>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ECD"/>
    <w:rsid w:val="005F7F50"/>
    <w:rsid w:val="006005D0"/>
    <w:rsid w:val="00600746"/>
    <w:rsid w:val="00600B0C"/>
    <w:rsid w:val="00601182"/>
    <w:rsid w:val="00602149"/>
    <w:rsid w:val="006028CB"/>
    <w:rsid w:val="006029A0"/>
    <w:rsid w:val="00603567"/>
    <w:rsid w:val="00603CE8"/>
    <w:rsid w:val="00603DF4"/>
    <w:rsid w:val="00603E9E"/>
    <w:rsid w:val="00603EF7"/>
    <w:rsid w:val="0060402F"/>
    <w:rsid w:val="00604804"/>
    <w:rsid w:val="00604C09"/>
    <w:rsid w:val="00604D78"/>
    <w:rsid w:val="00604D8B"/>
    <w:rsid w:val="006051E5"/>
    <w:rsid w:val="006052C0"/>
    <w:rsid w:val="0060540D"/>
    <w:rsid w:val="006054DE"/>
    <w:rsid w:val="0060561E"/>
    <w:rsid w:val="00605801"/>
    <w:rsid w:val="00605DD0"/>
    <w:rsid w:val="0060657D"/>
    <w:rsid w:val="00606671"/>
    <w:rsid w:val="00606AB7"/>
    <w:rsid w:val="00606BEA"/>
    <w:rsid w:val="00606D8D"/>
    <w:rsid w:val="00606F4A"/>
    <w:rsid w:val="00607090"/>
    <w:rsid w:val="006072ED"/>
    <w:rsid w:val="006073E3"/>
    <w:rsid w:val="00607848"/>
    <w:rsid w:val="00607A7B"/>
    <w:rsid w:val="00607B90"/>
    <w:rsid w:val="00607D5E"/>
    <w:rsid w:val="00607E5E"/>
    <w:rsid w:val="0061033B"/>
    <w:rsid w:val="00610638"/>
    <w:rsid w:val="00610785"/>
    <w:rsid w:val="00610A63"/>
    <w:rsid w:val="00610E7C"/>
    <w:rsid w:val="00610F70"/>
    <w:rsid w:val="00610FC6"/>
    <w:rsid w:val="00611143"/>
    <w:rsid w:val="0061130F"/>
    <w:rsid w:val="006115B2"/>
    <w:rsid w:val="00611677"/>
    <w:rsid w:val="0061170B"/>
    <w:rsid w:val="0061190B"/>
    <w:rsid w:val="00611935"/>
    <w:rsid w:val="0061217B"/>
    <w:rsid w:val="00612632"/>
    <w:rsid w:val="006128B4"/>
    <w:rsid w:val="00612A98"/>
    <w:rsid w:val="00612C6D"/>
    <w:rsid w:val="00612E32"/>
    <w:rsid w:val="00613208"/>
    <w:rsid w:val="006132DC"/>
    <w:rsid w:val="0061358D"/>
    <w:rsid w:val="006135E5"/>
    <w:rsid w:val="00613C46"/>
    <w:rsid w:val="00613DB2"/>
    <w:rsid w:val="00613DBB"/>
    <w:rsid w:val="006147E8"/>
    <w:rsid w:val="00614ECB"/>
    <w:rsid w:val="00615337"/>
    <w:rsid w:val="00615700"/>
    <w:rsid w:val="006158FC"/>
    <w:rsid w:val="00615ADA"/>
    <w:rsid w:val="006161A4"/>
    <w:rsid w:val="006161BF"/>
    <w:rsid w:val="00616246"/>
    <w:rsid w:val="0061645F"/>
    <w:rsid w:val="00616CE2"/>
    <w:rsid w:val="00616F72"/>
    <w:rsid w:val="0061712E"/>
    <w:rsid w:val="00620136"/>
    <w:rsid w:val="006203A4"/>
    <w:rsid w:val="00620D6A"/>
    <w:rsid w:val="00620E44"/>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CA9"/>
    <w:rsid w:val="00631349"/>
    <w:rsid w:val="006316CC"/>
    <w:rsid w:val="00631898"/>
    <w:rsid w:val="00631BBD"/>
    <w:rsid w:val="00631D1E"/>
    <w:rsid w:val="006326B0"/>
    <w:rsid w:val="0063271A"/>
    <w:rsid w:val="006327CF"/>
    <w:rsid w:val="0063290B"/>
    <w:rsid w:val="00632AE6"/>
    <w:rsid w:val="00632B95"/>
    <w:rsid w:val="006337F1"/>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43BD"/>
    <w:rsid w:val="006444BE"/>
    <w:rsid w:val="00644532"/>
    <w:rsid w:val="006445B1"/>
    <w:rsid w:val="00644647"/>
    <w:rsid w:val="0064497B"/>
    <w:rsid w:val="00644CBC"/>
    <w:rsid w:val="00644EC7"/>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2AD8"/>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A42"/>
    <w:rsid w:val="00657E86"/>
    <w:rsid w:val="00657EF9"/>
    <w:rsid w:val="00657FE1"/>
    <w:rsid w:val="0066015B"/>
    <w:rsid w:val="00660295"/>
    <w:rsid w:val="0066046D"/>
    <w:rsid w:val="00660941"/>
    <w:rsid w:val="0066123C"/>
    <w:rsid w:val="00661375"/>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C8"/>
    <w:rsid w:val="006651BC"/>
    <w:rsid w:val="006654CC"/>
    <w:rsid w:val="0066571B"/>
    <w:rsid w:val="00665BEC"/>
    <w:rsid w:val="00665C28"/>
    <w:rsid w:val="00665DB1"/>
    <w:rsid w:val="00666699"/>
    <w:rsid w:val="00667298"/>
    <w:rsid w:val="006674B0"/>
    <w:rsid w:val="0066784C"/>
    <w:rsid w:val="00667AB0"/>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4F8B"/>
    <w:rsid w:val="0067510C"/>
    <w:rsid w:val="006752BE"/>
    <w:rsid w:val="00675E1F"/>
    <w:rsid w:val="0067658A"/>
    <w:rsid w:val="00676D63"/>
    <w:rsid w:val="00676EA1"/>
    <w:rsid w:val="0067760B"/>
    <w:rsid w:val="006776E8"/>
    <w:rsid w:val="006776F0"/>
    <w:rsid w:val="0067790A"/>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3D"/>
    <w:rsid w:val="00683B78"/>
    <w:rsid w:val="00683C49"/>
    <w:rsid w:val="006843C4"/>
    <w:rsid w:val="00684ADE"/>
    <w:rsid w:val="00684D01"/>
    <w:rsid w:val="00684DFE"/>
    <w:rsid w:val="00685D3D"/>
    <w:rsid w:val="0068600A"/>
    <w:rsid w:val="006864C7"/>
    <w:rsid w:val="00686CDA"/>
    <w:rsid w:val="00686FB3"/>
    <w:rsid w:val="00687275"/>
    <w:rsid w:val="0068756A"/>
    <w:rsid w:val="006875FC"/>
    <w:rsid w:val="00687880"/>
    <w:rsid w:val="006878BB"/>
    <w:rsid w:val="0068795E"/>
    <w:rsid w:val="006879B9"/>
    <w:rsid w:val="00690048"/>
    <w:rsid w:val="00690292"/>
    <w:rsid w:val="00690DDB"/>
    <w:rsid w:val="0069130C"/>
    <w:rsid w:val="006915C5"/>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9E6"/>
    <w:rsid w:val="006A0D40"/>
    <w:rsid w:val="006A0DAE"/>
    <w:rsid w:val="006A0DFE"/>
    <w:rsid w:val="006A0E6D"/>
    <w:rsid w:val="006A0EAE"/>
    <w:rsid w:val="006A1A07"/>
    <w:rsid w:val="006A2389"/>
    <w:rsid w:val="006A266F"/>
    <w:rsid w:val="006A2895"/>
    <w:rsid w:val="006A28E3"/>
    <w:rsid w:val="006A2A12"/>
    <w:rsid w:val="006A2AB7"/>
    <w:rsid w:val="006A2B5E"/>
    <w:rsid w:val="006A3101"/>
    <w:rsid w:val="006A40AB"/>
    <w:rsid w:val="006A466B"/>
    <w:rsid w:val="006A4F71"/>
    <w:rsid w:val="006A5703"/>
    <w:rsid w:val="006A5DDB"/>
    <w:rsid w:val="006A6243"/>
    <w:rsid w:val="006A625C"/>
    <w:rsid w:val="006A648D"/>
    <w:rsid w:val="006A6703"/>
    <w:rsid w:val="006A6862"/>
    <w:rsid w:val="006A6EFC"/>
    <w:rsid w:val="006A72A3"/>
    <w:rsid w:val="006A75E3"/>
    <w:rsid w:val="006A77F4"/>
    <w:rsid w:val="006B0AB4"/>
    <w:rsid w:val="006B0DA6"/>
    <w:rsid w:val="006B135E"/>
    <w:rsid w:val="006B1498"/>
    <w:rsid w:val="006B15E5"/>
    <w:rsid w:val="006B18D4"/>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33"/>
    <w:rsid w:val="006B43FB"/>
    <w:rsid w:val="006B45E3"/>
    <w:rsid w:val="006B492C"/>
    <w:rsid w:val="006B4C30"/>
    <w:rsid w:val="006B4FF5"/>
    <w:rsid w:val="006B5182"/>
    <w:rsid w:val="006B5538"/>
    <w:rsid w:val="006B5BBF"/>
    <w:rsid w:val="006B5FFA"/>
    <w:rsid w:val="006B638D"/>
    <w:rsid w:val="006B6745"/>
    <w:rsid w:val="006B74CF"/>
    <w:rsid w:val="006B74F6"/>
    <w:rsid w:val="006B798C"/>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878"/>
    <w:rsid w:val="006D1B42"/>
    <w:rsid w:val="006D244A"/>
    <w:rsid w:val="006D27E1"/>
    <w:rsid w:val="006D27E7"/>
    <w:rsid w:val="006D3035"/>
    <w:rsid w:val="006D318B"/>
    <w:rsid w:val="006D32CD"/>
    <w:rsid w:val="006D3655"/>
    <w:rsid w:val="006D38FE"/>
    <w:rsid w:val="006D440A"/>
    <w:rsid w:val="006D44B0"/>
    <w:rsid w:val="006D4674"/>
    <w:rsid w:val="006D4918"/>
    <w:rsid w:val="006D4E0C"/>
    <w:rsid w:val="006D4E2F"/>
    <w:rsid w:val="006D4E50"/>
    <w:rsid w:val="006D4E51"/>
    <w:rsid w:val="006D5252"/>
    <w:rsid w:val="006D5766"/>
    <w:rsid w:val="006D5AD1"/>
    <w:rsid w:val="006D5C83"/>
    <w:rsid w:val="006D5CB9"/>
    <w:rsid w:val="006D5EF7"/>
    <w:rsid w:val="006D5F8F"/>
    <w:rsid w:val="006D6367"/>
    <w:rsid w:val="006D63EE"/>
    <w:rsid w:val="006D6673"/>
    <w:rsid w:val="006D6C86"/>
    <w:rsid w:val="006D6EF2"/>
    <w:rsid w:val="006D71BE"/>
    <w:rsid w:val="006D7306"/>
    <w:rsid w:val="006D7A78"/>
    <w:rsid w:val="006D7E99"/>
    <w:rsid w:val="006D7F52"/>
    <w:rsid w:val="006E073B"/>
    <w:rsid w:val="006E0842"/>
    <w:rsid w:val="006E0B6E"/>
    <w:rsid w:val="006E11C2"/>
    <w:rsid w:val="006E1895"/>
    <w:rsid w:val="006E1C30"/>
    <w:rsid w:val="006E25C8"/>
    <w:rsid w:val="006E28A0"/>
    <w:rsid w:val="006E2EBC"/>
    <w:rsid w:val="006E2EDC"/>
    <w:rsid w:val="006E315E"/>
    <w:rsid w:val="006E386A"/>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4E"/>
    <w:rsid w:val="006E626F"/>
    <w:rsid w:val="006E6485"/>
    <w:rsid w:val="006E64C2"/>
    <w:rsid w:val="006E6D1E"/>
    <w:rsid w:val="006E6E78"/>
    <w:rsid w:val="006E6F9D"/>
    <w:rsid w:val="006E75FF"/>
    <w:rsid w:val="006E79F3"/>
    <w:rsid w:val="006E7C5C"/>
    <w:rsid w:val="006E7C76"/>
    <w:rsid w:val="006E7E0D"/>
    <w:rsid w:val="006E7E87"/>
    <w:rsid w:val="006F0733"/>
    <w:rsid w:val="006F0843"/>
    <w:rsid w:val="006F0B47"/>
    <w:rsid w:val="006F0C5E"/>
    <w:rsid w:val="006F1E23"/>
    <w:rsid w:val="006F1F52"/>
    <w:rsid w:val="006F222E"/>
    <w:rsid w:val="006F239B"/>
    <w:rsid w:val="006F27C5"/>
    <w:rsid w:val="006F2886"/>
    <w:rsid w:val="006F2AAE"/>
    <w:rsid w:val="006F2B9E"/>
    <w:rsid w:val="006F2C5F"/>
    <w:rsid w:val="006F3019"/>
    <w:rsid w:val="006F310B"/>
    <w:rsid w:val="006F34C7"/>
    <w:rsid w:val="006F37BA"/>
    <w:rsid w:val="006F3FE1"/>
    <w:rsid w:val="006F4047"/>
    <w:rsid w:val="006F4501"/>
    <w:rsid w:val="006F454C"/>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637"/>
    <w:rsid w:val="00702BD1"/>
    <w:rsid w:val="00702E01"/>
    <w:rsid w:val="00702E75"/>
    <w:rsid w:val="007033DA"/>
    <w:rsid w:val="0070346E"/>
    <w:rsid w:val="00703891"/>
    <w:rsid w:val="007038DC"/>
    <w:rsid w:val="00703968"/>
    <w:rsid w:val="00703CBF"/>
    <w:rsid w:val="00703F4E"/>
    <w:rsid w:val="00704046"/>
    <w:rsid w:val="00704320"/>
    <w:rsid w:val="007044BD"/>
    <w:rsid w:val="00704723"/>
    <w:rsid w:val="00704B8A"/>
    <w:rsid w:val="007052F8"/>
    <w:rsid w:val="007053EE"/>
    <w:rsid w:val="00705621"/>
    <w:rsid w:val="00705B82"/>
    <w:rsid w:val="0070613C"/>
    <w:rsid w:val="00706699"/>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93"/>
    <w:rsid w:val="00715FAD"/>
    <w:rsid w:val="0071641C"/>
    <w:rsid w:val="007164F7"/>
    <w:rsid w:val="007167CF"/>
    <w:rsid w:val="007169B5"/>
    <w:rsid w:val="007169DB"/>
    <w:rsid w:val="00716B57"/>
    <w:rsid w:val="00716DB7"/>
    <w:rsid w:val="00716ED5"/>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FBA"/>
    <w:rsid w:val="00724362"/>
    <w:rsid w:val="00724D25"/>
    <w:rsid w:val="007253CB"/>
    <w:rsid w:val="007253CF"/>
    <w:rsid w:val="007255FA"/>
    <w:rsid w:val="007257A6"/>
    <w:rsid w:val="00725D57"/>
    <w:rsid w:val="00725E90"/>
    <w:rsid w:val="007261A1"/>
    <w:rsid w:val="0072620B"/>
    <w:rsid w:val="0072649C"/>
    <w:rsid w:val="007267FF"/>
    <w:rsid w:val="00726C35"/>
    <w:rsid w:val="00726CC4"/>
    <w:rsid w:val="00726D08"/>
    <w:rsid w:val="007275F8"/>
    <w:rsid w:val="0072777C"/>
    <w:rsid w:val="00727821"/>
    <w:rsid w:val="00727BCF"/>
    <w:rsid w:val="00727DF6"/>
    <w:rsid w:val="00730497"/>
    <w:rsid w:val="0073065C"/>
    <w:rsid w:val="007307F4"/>
    <w:rsid w:val="00730955"/>
    <w:rsid w:val="00730DA7"/>
    <w:rsid w:val="00731127"/>
    <w:rsid w:val="007313C0"/>
    <w:rsid w:val="00731D96"/>
    <w:rsid w:val="00731F51"/>
    <w:rsid w:val="00731FE3"/>
    <w:rsid w:val="00732733"/>
    <w:rsid w:val="00732895"/>
    <w:rsid w:val="00732EF9"/>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D3F"/>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4D01"/>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F49"/>
    <w:rsid w:val="007522A6"/>
    <w:rsid w:val="00752448"/>
    <w:rsid w:val="007524EE"/>
    <w:rsid w:val="0075251F"/>
    <w:rsid w:val="0075271D"/>
    <w:rsid w:val="00753023"/>
    <w:rsid w:val="007536F3"/>
    <w:rsid w:val="00753C4E"/>
    <w:rsid w:val="00753F63"/>
    <w:rsid w:val="007549D7"/>
    <w:rsid w:val="00754A6E"/>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5F9"/>
    <w:rsid w:val="00760721"/>
    <w:rsid w:val="0076083A"/>
    <w:rsid w:val="007608CC"/>
    <w:rsid w:val="007608D7"/>
    <w:rsid w:val="00760DC3"/>
    <w:rsid w:val="00761057"/>
    <w:rsid w:val="007611CA"/>
    <w:rsid w:val="007611F7"/>
    <w:rsid w:val="0076136C"/>
    <w:rsid w:val="00761723"/>
    <w:rsid w:val="00761AC2"/>
    <w:rsid w:val="00761BF5"/>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72B"/>
    <w:rsid w:val="00770EB8"/>
    <w:rsid w:val="00771350"/>
    <w:rsid w:val="00771968"/>
    <w:rsid w:val="00771D4F"/>
    <w:rsid w:val="00772DA6"/>
    <w:rsid w:val="00773382"/>
    <w:rsid w:val="00773517"/>
    <w:rsid w:val="00773548"/>
    <w:rsid w:val="00773551"/>
    <w:rsid w:val="00773A19"/>
    <w:rsid w:val="00774707"/>
    <w:rsid w:val="00774810"/>
    <w:rsid w:val="00774943"/>
    <w:rsid w:val="00774E5A"/>
    <w:rsid w:val="00775207"/>
    <w:rsid w:val="0077537E"/>
    <w:rsid w:val="007754B7"/>
    <w:rsid w:val="007756E8"/>
    <w:rsid w:val="007759DB"/>
    <w:rsid w:val="00776266"/>
    <w:rsid w:val="007762E7"/>
    <w:rsid w:val="00776332"/>
    <w:rsid w:val="00776364"/>
    <w:rsid w:val="0077659F"/>
    <w:rsid w:val="00776ED1"/>
    <w:rsid w:val="00776ED8"/>
    <w:rsid w:val="0077733D"/>
    <w:rsid w:val="00777794"/>
    <w:rsid w:val="00777C85"/>
    <w:rsid w:val="00777D1A"/>
    <w:rsid w:val="00777FB5"/>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0E"/>
    <w:rsid w:val="007867F5"/>
    <w:rsid w:val="00786C14"/>
    <w:rsid w:val="00787141"/>
    <w:rsid w:val="007873A7"/>
    <w:rsid w:val="007875D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2934"/>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C1D"/>
    <w:rsid w:val="00797E69"/>
    <w:rsid w:val="00797F1E"/>
    <w:rsid w:val="00797FC7"/>
    <w:rsid w:val="007A045E"/>
    <w:rsid w:val="007A0852"/>
    <w:rsid w:val="007A08E1"/>
    <w:rsid w:val="007A0B39"/>
    <w:rsid w:val="007A0B51"/>
    <w:rsid w:val="007A106B"/>
    <w:rsid w:val="007A12C6"/>
    <w:rsid w:val="007A12D9"/>
    <w:rsid w:val="007A1538"/>
    <w:rsid w:val="007A188C"/>
    <w:rsid w:val="007A1A14"/>
    <w:rsid w:val="007A1B3F"/>
    <w:rsid w:val="007A1CD6"/>
    <w:rsid w:val="007A2270"/>
    <w:rsid w:val="007A2534"/>
    <w:rsid w:val="007A2779"/>
    <w:rsid w:val="007A2CE1"/>
    <w:rsid w:val="007A2EC8"/>
    <w:rsid w:val="007A3035"/>
    <w:rsid w:val="007A33FA"/>
    <w:rsid w:val="007A34C1"/>
    <w:rsid w:val="007A3618"/>
    <w:rsid w:val="007A392E"/>
    <w:rsid w:val="007A3A9D"/>
    <w:rsid w:val="007A44F7"/>
    <w:rsid w:val="007A4659"/>
    <w:rsid w:val="007A4F87"/>
    <w:rsid w:val="007A519A"/>
    <w:rsid w:val="007A520B"/>
    <w:rsid w:val="007A52FE"/>
    <w:rsid w:val="007A56B1"/>
    <w:rsid w:val="007A570B"/>
    <w:rsid w:val="007A578B"/>
    <w:rsid w:val="007A57ED"/>
    <w:rsid w:val="007A5AF9"/>
    <w:rsid w:val="007A5FD5"/>
    <w:rsid w:val="007A6233"/>
    <w:rsid w:val="007A678F"/>
    <w:rsid w:val="007A6AC3"/>
    <w:rsid w:val="007A6E37"/>
    <w:rsid w:val="007A7019"/>
    <w:rsid w:val="007A7458"/>
    <w:rsid w:val="007A765A"/>
    <w:rsid w:val="007A76E6"/>
    <w:rsid w:val="007A77A2"/>
    <w:rsid w:val="007A793C"/>
    <w:rsid w:val="007A7AD4"/>
    <w:rsid w:val="007A7AE8"/>
    <w:rsid w:val="007A7EB9"/>
    <w:rsid w:val="007B0983"/>
    <w:rsid w:val="007B10E8"/>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3FB8"/>
    <w:rsid w:val="007B5146"/>
    <w:rsid w:val="007B5163"/>
    <w:rsid w:val="007B5E21"/>
    <w:rsid w:val="007B6569"/>
    <w:rsid w:val="007B68FD"/>
    <w:rsid w:val="007B6BD3"/>
    <w:rsid w:val="007B6D3E"/>
    <w:rsid w:val="007B75C9"/>
    <w:rsid w:val="007B7C27"/>
    <w:rsid w:val="007B7D10"/>
    <w:rsid w:val="007C001E"/>
    <w:rsid w:val="007C00E7"/>
    <w:rsid w:val="007C02A3"/>
    <w:rsid w:val="007C0E9E"/>
    <w:rsid w:val="007C1023"/>
    <w:rsid w:val="007C1457"/>
    <w:rsid w:val="007C153F"/>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C7E9B"/>
    <w:rsid w:val="007D00B9"/>
    <w:rsid w:val="007D01BB"/>
    <w:rsid w:val="007D01F5"/>
    <w:rsid w:val="007D0576"/>
    <w:rsid w:val="007D0642"/>
    <w:rsid w:val="007D13C2"/>
    <w:rsid w:val="007D1594"/>
    <w:rsid w:val="007D160A"/>
    <w:rsid w:val="007D17E3"/>
    <w:rsid w:val="007D1A1E"/>
    <w:rsid w:val="007D1AE4"/>
    <w:rsid w:val="007D1C6E"/>
    <w:rsid w:val="007D1D54"/>
    <w:rsid w:val="007D2AF5"/>
    <w:rsid w:val="007D2AFB"/>
    <w:rsid w:val="007D2C1D"/>
    <w:rsid w:val="007D3004"/>
    <w:rsid w:val="007D31C7"/>
    <w:rsid w:val="007D320C"/>
    <w:rsid w:val="007D4283"/>
    <w:rsid w:val="007D42F8"/>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D7FFD"/>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77D"/>
    <w:rsid w:val="007E38A0"/>
    <w:rsid w:val="007E3B07"/>
    <w:rsid w:val="007E3B6A"/>
    <w:rsid w:val="007E416D"/>
    <w:rsid w:val="007E41A6"/>
    <w:rsid w:val="007E4598"/>
    <w:rsid w:val="007E469A"/>
    <w:rsid w:val="007E46DF"/>
    <w:rsid w:val="007E4AC7"/>
    <w:rsid w:val="007E4C13"/>
    <w:rsid w:val="007E50EB"/>
    <w:rsid w:val="007E53A9"/>
    <w:rsid w:val="007E57D2"/>
    <w:rsid w:val="007E59A4"/>
    <w:rsid w:val="007E5AA2"/>
    <w:rsid w:val="007E5D1E"/>
    <w:rsid w:val="007E5E8C"/>
    <w:rsid w:val="007E6015"/>
    <w:rsid w:val="007E60D4"/>
    <w:rsid w:val="007E6111"/>
    <w:rsid w:val="007E618A"/>
    <w:rsid w:val="007E62DC"/>
    <w:rsid w:val="007E65D3"/>
    <w:rsid w:val="007E67D1"/>
    <w:rsid w:val="007E6D72"/>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104A"/>
    <w:rsid w:val="007F138A"/>
    <w:rsid w:val="007F1420"/>
    <w:rsid w:val="007F16A6"/>
    <w:rsid w:val="007F16EB"/>
    <w:rsid w:val="007F1779"/>
    <w:rsid w:val="007F180A"/>
    <w:rsid w:val="007F1E1F"/>
    <w:rsid w:val="007F201C"/>
    <w:rsid w:val="007F20B7"/>
    <w:rsid w:val="007F20E2"/>
    <w:rsid w:val="007F2262"/>
    <w:rsid w:val="007F2990"/>
    <w:rsid w:val="007F2C93"/>
    <w:rsid w:val="007F3B9B"/>
    <w:rsid w:val="007F423F"/>
    <w:rsid w:val="007F451D"/>
    <w:rsid w:val="007F4957"/>
    <w:rsid w:val="007F4B9A"/>
    <w:rsid w:val="007F4E2E"/>
    <w:rsid w:val="007F4FB8"/>
    <w:rsid w:val="007F58A8"/>
    <w:rsid w:val="007F59CE"/>
    <w:rsid w:val="007F5F3F"/>
    <w:rsid w:val="007F5F7F"/>
    <w:rsid w:val="007F6635"/>
    <w:rsid w:val="007F6DD9"/>
    <w:rsid w:val="007F6E18"/>
    <w:rsid w:val="007F6E38"/>
    <w:rsid w:val="007F6FAF"/>
    <w:rsid w:val="007F7779"/>
    <w:rsid w:val="007F7A4A"/>
    <w:rsid w:val="007F7C27"/>
    <w:rsid w:val="007F7D14"/>
    <w:rsid w:val="007F7D5C"/>
    <w:rsid w:val="007F7D96"/>
    <w:rsid w:val="007F7F87"/>
    <w:rsid w:val="008000E5"/>
    <w:rsid w:val="00800796"/>
    <w:rsid w:val="00800CA3"/>
    <w:rsid w:val="00801014"/>
    <w:rsid w:val="00801A26"/>
    <w:rsid w:val="00801D65"/>
    <w:rsid w:val="008020EF"/>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422C"/>
    <w:rsid w:val="0081492C"/>
    <w:rsid w:val="00814960"/>
    <w:rsid w:val="00814ACB"/>
    <w:rsid w:val="00814D76"/>
    <w:rsid w:val="00814F47"/>
    <w:rsid w:val="0081525F"/>
    <w:rsid w:val="008154EC"/>
    <w:rsid w:val="008158C9"/>
    <w:rsid w:val="00815991"/>
    <w:rsid w:val="008159E6"/>
    <w:rsid w:val="00815E46"/>
    <w:rsid w:val="00816A10"/>
    <w:rsid w:val="00816A26"/>
    <w:rsid w:val="00816D8A"/>
    <w:rsid w:val="00817465"/>
    <w:rsid w:val="00817705"/>
    <w:rsid w:val="00817A83"/>
    <w:rsid w:val="00817AC2"/>
    <w:rsid w:val="00820270"/>
    <w:rsid w:val="0082042A"/>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753"/>
    <w:rsid w:val="0083092C"/>
    <w:rsid w:val="00830958"/>
    <w:rsid w:val="00830DC9"/>
    <w:rsid w:val="00831663"/>
    <w:rsid w:val="00831B0F"/>
    <w:rsid w:val="00831CEA"/>
    <w:rsid w:val="00831E67"/>
    <w:rsid w:val="00831E79"/>
    <w:rsid w:val="00831EA7"/>
    <w:rsid w:val="008320D4"/>
    <w:rsid w:val="00832163"/>
    <w:rsid w:val="00832236"/>
    <w:rsid w:val="008322FD"/>
    <w:rsid w:val="00832588"/>
    <w:rsid w:val="00832BB1"/>
    <w:rsid w:val="008330B4"/>
    <w:rsid w:val="0083321A"/>
    <w:rsid w:val="00833256"/>
    <w:rsid w:val="008333F7"/>
    <w:rsid w:val="008334FA"/>
    <w:rsid w:val="0083362F"/>
    <w:rsid w:val="00833821"/>
    <w:rsid w:val="00833B35"/>
    <w:rsid w:val="00833D03"/>
    <w:rsid w:val="0083400C"/>
    <w:rsid w:val="00834034"/>
    <w:rsid w:val="0083414D"/>
    <w:rsid w:val="008341D5"/>
    <w:rsid w:val="0083464A"/>
    <w:rsid w:val="00834BF3"/>
    <w:rsid w:val="008352CC"/>
    <w:rsid w:val="008359A9"/>
    <w:rsid w:val="008359F4"/>
    <w:rsid w:val="00835A10"/>
    <w:rsid w:val="00835AE9"/>
    <w:rsid w:val="00835D20"/>
    <w:rsid w:val="008363EB"/>
    <w:rsid w:val="00836C88"/>
    <w:rsid w:val="00836F3C"/>
    <w:rsid w:val="008372DD"/>
    <w:rsid w:val="00837667"/>
    <w:rsid w:val="008377A6"/>
    <w:rsid w:val="00837CB9"/>
    <w:rsid w:val="0084009E"/>
    <w:rsid w:val="008401FB"/>
    <w:rsid w:val="0084054A"/>
    <w:rsid w:val="0084057A"/>
    <w:rsid w:val="0084058E"/>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017"/>
    <w:rsid w:val="008451C0"/>
    <w:rsid w:val="00845309"/>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DCF"/>
    <w:rsid w:val="00853073"/>
    <w:rsid w:val="00853720"/>
    <w:rsid w:val="008539AA"/>
    <w:rsid w:val="00853D0A"/>
    <w:rsid w:val="0085407F"/>
    <w:rsid w:val="008541E7"/>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877"/>
    <w:rsid w:val="00864ACA"/>
    <w:rsid w:val="00864B4E"/>
    <w:rsid w:val="00864BDD"/>
    <w:rsid w:val="00864CF3"/>
    <w:rsid w:val="00864D67"/>
    <w:rsid w:val="00864F81"/>
    <w:rsid w:val="0086570A"/>
    <w:rsid w:val="00865BFC"/>
    <w:rsid w:val="00865E3F"/>
    <w:rsid w:val="008661E7"/>
    <w:rsid w:val="00866398"/>
    <w:rsid w:val="0086646E"/>
    <w:rsid w:val="00866B5F"/>
    <w:rsid w:val="00866B97"/>
    <w:rsid w:val="00866BE7"/>
    <w:rsid w:val="00866CDA"/>
    <w:rsid w:val="008673B0"/>
    <w:rsid w:val="00867B93"/>
    <w:rsid w:val="00867C69"/>
    <w:rsid w:val="0087022E"/>
    <w:rsid w:val="0087067C"/>
    <w:rsid w:val="0087079E"/>
    <w:rsid w:val="008708E2"/>
    <w:rsid w:val="00871268"/>
    <w:rsid w:val="00871BE5"/>
    <w:rsid w:val="00872216"/>
    <w:rsid w:val="008729C0"/>
    <w:rsid w:val="00872BED"/>
    <w:rsid w:val="00872C8E"/>
    <w:rsid w:val="00873214"/>
    <w:rsid w:val="00873382"/>
    <w:rsid w:val="008737D1"/>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D3B"/>
    <w:rsid w:val="008800D5"/>
    <w:rsid w:val="00880A15"/>
    <w:rsid w:val="00880DB3"/>
    <w:rsid w:val="0088115B"/>
    <w:rsid w:val="0088115E"/>
    <w:rsid w:val="008811F4"/>
    <w:rsid w:val="00881626"/>
    <w:rsid w:val="0088194D"/>
    <w:rsid w:val="00881B0D"/>
    <w:rsid w:val="00881FF2"/>
    <w:rsid w:val="008826AD"/>
    <w:rsid w:val="008826F9"/>
    <w:rsid w:val="008827A3"/>
    <w:rsid w:val="00882B19"/>
    <w:rsid w:val="00882B88"/>
    <w:rsid w:val="00882BAB"/>
    <w:rsid w:val="00882E23"/>
    <w:rsid w:val="008832B5"/>
    <w:rsid w:val="00883307"/>
    <w:rsid w:val="00883929"/>
    <w:rsid w:val="008839B6"/>
    <w:rsid w:val="008842A3"/>
    <w:rsid w:val="008843FE"/>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2189"/>
    <w:rsid w:val="008926ED"/>
    <w:rsid w:val="0089285E"/>
    <w:rsid w:val="00892D2A"/>
    <w:rsid w:val="00892FC1"/>
    <w:rsid w:val="008932B7"/>
    <w:rsid w:val="00893697"/>
    <w:rsid w:val="0089387A"/>
    <w:rsid w:val="00893A12"/>
    <w:rsid w:val="00893B2A"/>
    <w:rsid w:val="00893C19"/>
    <w:rsid w:val="00893D2D"/>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5F28"/>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2174"/>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79A"/>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A7C"/>
    <w:rsid w:val="008B2BC9"/>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6E1"/>
    <w:rsid w:val="008B5800"/>
    <w:rsid w:val="008B584B"/>
    <w:rsid w:val="008B593C"/>
    <w:rsid w:val="008B620C"/>
    <w:rsid w:val="008B6423"/>
    <w:rsid w:val="008B667B"/>
    <w:rsid w:val="008B6F7D"/>
    <w:rsid w:val="008B7081"/>
    <w:rsid w:val="008B70A4"/>
    <w:rsid w:val="008B7523"/>
    <w:rsid w:val="008B7CF2"/>
    <w:rsid w:val="008B7E59"/>
    <w:rsid w:val="008B7FBD"/>
    <w:rsid w:val="008C0252"/>
    <w:rsid w:val="008C03F6"/>
    <w:rsid w:val="008C0ADD"/>
    <w:rsid w:val="008C0CB7"/>
    <w:rsid w:val="008C15A6"/>
    <w:rsid w:val="008C15ED"/>
    <w:rsid w:val="008C17DF"/>
    <w:rsid w:val="008C182D"/>
    <w:rsid w:val="008C1A5B"/>
    <w:rsid w:val="008C280A"/>
    <w:rsid w:val="008C2BAA"/>
    <w:rsid w:val="008C2E2A"/>
    <w:rsid w:val="008C2EF8"/>
    <w:rsid w:val="008C2F24"/>
    <w:rsid w:val="008C3305"/>
    <w:rsid w:val="008C33A1"/>
    <w:rsid w:val="008C3747"/>
    <w:rsid w:val="008C38D7"/>
    <w:rsid w:val="008C39D3"/>
    <w:rsid w:val="008C3DC9"/>
    <w:rsid w:val="008C3FBC"/>
    <w:rsid w:val="008C423C"/>
    <w:rsid w:val="008C429D"/>
    <w:rsid w:val="008C4DE9"/>
    <w:rsid w:val="008C4F8B"/>
    <w:rsid w:val="008C50FD"/>
    <w:rsid w:val="008C53E3"/>
    <w:rsid w:val="008C5548"/>
    <w:rsid w:val="008C5708"/>
    <w:rsid w:val="008C5EB5"/>
    <w:rsid w:val="008C5FE5"/>
    <w:rsid w:val="008C664F"/>
    <w:rsid w:val="008C68DE"/>
    <w:rsid w:val="008C6D32"/>
    <w:rsid w:val="008C6F35"/>
    <w:rsid w:val="008C7685"/>
    <w:rsid w:val="008C7AC9"/>
    <w:rsid w:val="008C7C2A"/>
    <w:rsid w:val="008C7C36"/>
    <w:rsid w:val="008C7D10"/>
    <w:rsid w:val="008D0176"/>
    <w:rsid w:val="008D01D3"/>
    <w:rsid w:val="008D096F"/>
    <w:rsid w:val="008D0E6D"/>
    <w:rsid w:val="008D1044"/>
    <w:rsid w:val="008D12BF"/>
    <w:rsid w:val="008D178A"/>
    <w:rsid w:val="008D1F49"/>
    <w:rsid w:val="008D2692"/>
    <w:rsid w:val="008D2ED8"/>
    <w:rsid w:val="008D2F11"/>
    <w:rsid w:val="008D3715"/>
    <w:rsid w:val="008D414A"/>
    <w:rsid w:val="008D433F"/>
    <w:rsid w:val="008D4417"/>
    <w:rsid w:val="008D441E"/>
    <w:rsid w:val="008D44F4"/>
    <w:rsid w:val="008D4520"/>
    <w:rsid w:val="008D4EB2"/>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254"/>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B2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B95"/>
    <w:rsid w:val="008F4DAD"/>
    <w:rsid w:val="008F5094"/>
    <w:rsid w:val="008F5270"/>
    <w:rsid w:val="008F52B6"/>
    <w:rsid w:val="008F565C"/>
    <w:rsid w:val="008F5717"/>
    <w:rsid w:val="008F63CD"/>
    <w:rsid w:val="008F66C9"/>
    <w:rsid w:val="008F738D"/>
    <w:rsid w:val="008F74E3"/>
    <w:rsid w:val="008F7CCD"/>
    <w:rsid w:val="008F7EB0"/>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CB3"/>
    <w:rsid w:val="00903D50"/>
    <w:rsid w:val="00904323"/>
    <w:rsid w:val="009045AD"/>
    <w:rsid w:val="009046E1"/>
    <w:rsid w:val="00904EC3"/>
    <w:rsid w:val="00905355"/>
    <w:rsid w:val="009064DA"/>
    <w:rsid w:val="0090669F"/>
    <w:rsid w:val="00906A9A"/>
    <w:rsid w:val="00906C65"/>
    <w:rsid w:val="00906F6A"/>
    <w:rsid w:val="00907487"/>
    <w:rsid w:val="009074A5"/>
    <w:rsid w:val="00907CE8"/>
    <w:rsid w:val="0091029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6CC9"/>
    <w:rsid w:val="009170CD"/>
    <w:rsid w:val="009178B3"/>
    <w:rsid w:val="00917A80"/>
    <w:rsid w:val="00917C56"/>
    <w:rsid w:val="009203BC"/>
    <w:rsid w:val="009204FF"/>
    <w:rsid w:val="009208D2"/>
    <w:rsid w:val="00920AD6"/>
    <w:rsid w:val="00920B8E"/>
    <w:rsid w:val="00920C31"/>
    <w:rsid w:val="00920DAC"/>
    <w:rsid w:val="00920E78"/>
    <w:rsid w:val="00920F9A"/>
    <w:rsid w:val="009214B6"/>
    <w:rsid w:val="00921A93"/>
    <w:rsid w:val="00921BD1"/>
    <w:rsid w:val="00921CD9"/>
    <w:rsid w:val="00921DBD"/>
    <w:rsid w:val="00922286"/>
    <w:rsid w:val="0092260A"/>
    <w:rsid w:val="00922AA4"/>
    <w:rsid w:val="00922B97"/>
    <w:rsid w:val="00923437"/>
    <w:rsid w:val="00923AC1"/>
    <w:rsid w:val="009247A3"/>
    <w:rsid w:val="00924AD2"/>
    <w:rsid w:val="00924F6A"/>
    <w:rsid w:val="009250D8"/>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511"/>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0FE"/>
    <w:rsid w:val="00934577"/>
    <w:rsid w:val="00934896"/>
    <w:rsid w:val="00935251"/>
    <w:rsid w:val="009354C4"/>
    <w:rsid w:val="00935EE1"/>
    <w:rsid w:val="00935FEF"/>
    <w:rsid w:val="00936013"/>
    <w:rsid w:val="0093633E"/>
    <w:rsid w:val="00936458"/>
    <w:rsid w:val="00936F73"/>
    <w:rsid w:val="00937095"/>
    <w:rsid w:val="009370FD"/>
    <w:rsid w:val="00937CCE"/>
    <w:rsid w:val="009400BB"/>
    <w:rsid w:val="0094056A"/>
    <w:rsid w:val="009406AC"/>
    <w:rsid w:val="00940A53"/>
    <w:rsid w:val="00940DA1"/>
    <w:rsid w:val="00940E22"/>
    <w:rsid w:val="00941802"/>
    <w:rsid w:val="00941DAB"/>
    <w:rsid w:val="00941FB9"/>
    <w:rsid w:val="009422B3"/>
    <w:rsid w:val="0094362B"/>
    <w:rsid w:val="009439A7"/>
    <w:rsid w:val="00943A3B"/>
    <w:rsid w:val="0094411F"/>
    <w:rsid w:val="00944225"/>
    <w:rsid w:val="00944241"/>
    <w:rsid w:val="009442DC"/>
    <w:rsid w:val="00944680"/>
    <w:rsid w:val="00944701"/>
    <w:rsid w:val="00944803"/>
    <w:rsid w:val="0094482E"/>
    <w:rsid w:val="00944EC3"/>
    <w:rsid w:val="0094519C"/>
    <w:rsid w:val="00945297"/>
    <w:rsid w:val="0094560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14C"/>
    <w:rsid w:val="009533F6"/>
    <w:rsid w:val="00953898"/>
    <w:rsid w:val="00953BD6"/>
    <w:rsid w:val="009542CB"/>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2E5"/>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13"/>
    <w:rsid w:val="00964DFD"/>
    <w:rsid w:val="00964F7B"/>
    <w:rsid w:val="00965778"/>
    <w:rsid w:val="00965B44"/>
    <w:rsid w:val="00965D3E"/>
    <w:rsid w:val="009660A3"/>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FC1"/>
    <w:rsid w:val="00972341"/>
    <w:rsid w:val="0097258E"/>
    <w:rsid w:val="00972796"/>
    <w:rsid w:val="0097283F"/>
    <w:rsid w:val="00972A2D"/>
    <w:rsid w:val="00972AEA"/>
    <w:rsid w:val="00972DF4"/>
    <w:rsid w:val="009732EA"/>
    <w:rsid w:val="00973371"/>
    <w:rsid w:val="00973607"/>
    <w:rsid w:val="00973802"/>
    <w:rsid w:val="00973E0E"/>
    <w:rsid w:val="00973E34"/>
    <w:rsid w:val="0097404B"/>
    <w:rsid w:val="00974188"/>
    <w:rsid w:val="00974B78"/>
    <w:rsid w:val="00974FCB"/>
    <w:rsid w:val="00975062"/>
    <w:rsid w:val="00975419"/>
    <w:rsid w:val="0097544D"/>
    <w:rsid w:val="00975588"/>
    <w:rsid w:val="00975B99"/>
    <w:rsid w:val="00975DEE"/>
    <w:rsid w:val="00975FB0"/>
    <w:rsid w:val="00976171"/>
    <w:rsid w:val="009766BC"/>
    <w:rsid w:val="009767BD"/>
    <w:rsid w:val="00976C9C"/>
    <w:rsid w:val="00977020"/>
    <w:rsid w:val="009773D9"/>
    <w:rsid w:val="009775A6"/>
    <w:rsid w:val="009776E1"/>
    <w:rsid w:val="0097776E"/>
    <w:rsid w:val="00977B55"/>
    <w:rsid w:val="00977ECB"/>
    <w:rsid w:val="00980462"/>
    <w:rsid w:val="00980749"/>
    <w:rsid w:val="00980783"/>
    <w:rsid w:val="00980901"/>
    <w:rsid w:val="00981031"/>
    <w:rsid w:val="0098188F"/>
    <w:rsid w:val="0098199B"/>
    <w:rsid w:val="009819BA"/>
    <w:rsid w:val="00981D6A"/>
    <w:rsid w:val="00981D7D"/>
    <w:rsid w:val="009821ED"/>
    <w:rsid w:val="0098267D"/>
    <w:rsid w:val="00983165"/>
    <w:rsid w:val="00983168"/>
    <w:rsid w:val="009838BB"/>
    <w:rsid w:val="00983958"/>
    <w:rsid w:val="00983CA6"/>
    <w:rsid w:val="00983F8A"/>
    <w:rsid w:val="00984CD1"/>
    <w:rsid w:val="00984CEE"/>
    <w:rsid w:val="00985048"/>
    <w:rsid w:val="00985670"/>
    <w:rsid w:val="009857FA"/>
    <w:rsid w:val="00985D3F"/>
    <w:rsid w:val="009869B3"/>
    <w:rsid w:val="00986C91"/>
    <w:rsid w:val="00986D83"/>
    <w:rsid w:val="00986F14"/>
    <w:rsid w:val="009879DD"/>
    <w:rsid w:val="0099012F"/>
    <w:rsid w:val="009906FD"/>
    <w:rsid w:val="00990933"/>
    <w:rsid w:val="009909C5"/>
    <w:rsid w:val="00990B25"/>
    <w:rsid w:val="00990CCC"/>
    <w:rsid w:val="00990D9F"/>
    <w:rsid w:val="009917F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7500"/>
    <w:rsid w:val="0099750F"/>
    <w:rsid w:val="00997FC2"/>
    <w:rsid w:val="009A00F9"/>
    <w:rsid w:val="009A06AE"/>
    <w:rsid w:val="009A0915"/>
    <w:rsid w:val="009A0A6F"/>
    <w:rsid w:val="009A0CC9"/>
    <w:rsid w:val="009A0E0D"/>
    <w:rsid w:val="009A0EE4"/>
    <w:rsid w:val="009A10C7"/>
    <w:rsid w:val="009A1391"/>
    <w:rsid w:val="009A1679"/>
    <w:rsid w:val="009A1EAD"/>
    <w:rsid w:val="009A2346"/>
    <w:rsid w:val="009A259B"/>
    <w:rsid w:val="009A25B7"/>
    <w:rsid w:val="009A25F5"/>
    <w:rsid w:val="009A265A"/>
    <w:rsid w:val="009A2734"/>
    <w:rsid w:val="009A2BCD"/>
    <w:rsid w:val="009A2F53"/>
    <w:rsid w:val="009A305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5D5"/>
    <w:rsid w:val="009B0858"/>
    <w:rsid w:val="009B08D6"/>
    <w:rsid w:val="009B0BC5"/>
    <w:rsid w:val="009B14A6"/>
    <w:rsid w:val="009B1A1F"/>
    <w:rsid w:val="009B1EC5"/>
    <w:rsid w:val="009B1F55"/>
    <w:rsid w:val="009B23AB"/>
    <w:rsid w:val="009B2890"/>
    <w:rsid w:val="009B29D4"/>
    <w:rsid w:val="009B29E6"/>
    <w:rsid w:val="009B2B6F"/>
    <w:rsid w:val="009B2C7F"/>
    <w:rsid w:val="009B2CDB"/>
    <w:rsid w:val="009B3142"/>
    <w:rsid w:val="009B31CB"/>
    <w:rsid w:val="009B32B8"/>
    <w:rsid w:val="009B363C"/>
    <w:rsid w:val="009B3AA0"/>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687"/>
    <w:rsid w:val="009C17F9"/>
    <w:rsid w:val="009C23CB"/>
    <w:rsid w:val="009C2682"/>
    <w:rsid w:val="009C26F0"/>
    <w:rsid w:val="009C2A20"/>
    <w:rsid w:val="009C306E"/>
    <w:rsid w:val="009C32C6"/>
    <w:rsid w:val="009C3521"/>
    <w:rsid w:val="009C3E46"/>
    <w:rsid w:val="009C431B"/>
    <w:rsid w:val="009C470D"/>
    <w:rsid w:val="009C4A2D"/>
    <w:rsid w:val="009C4ACA"/>
    <w:rsid w:val="009C4E33"/>
    <w:rsid w:val="009C4E9B"/>
    <w:rsid w:val="009C5099"/>
    <w:rsid w:val="009C50C0"/>
    <w:rsid w:val="009C5681"/>
    <w:rsid w:val="009C64E3"/>
    <w:rsid w:val="009C6CDA"/>
    <w:rsid w:val="009C6CFC"/>
    <w:rsid w:val="009C6DC5"/>
    <w:rsid w:val="009C6F51"/>
    <w:rsid w:val="009C71E2"/>
    <w:rsid w:val="009C72FA"/>
    <w:rsid w:val="009C77E3"/>
    <w:rsid w:val="009C7A4F"/>
    <w:rsid w:val="009C7B3D"/>
    <w:rsid w:val="009D0961"/>
    <w:rsid w:val="009D0BC9"/>
    <w:rsid w:val="009D0C96"/>
    <w:rsid w:val="009D181B"/>
    <w:rsid w:val="009D1983"/>
    <w:rsid w:val="009D1BEB"/>
    <w:rsid w:val="009D1C31"/>
    <w:rsid w:val="009D1C47"/>
    <w:rsid w:val="009D1FC3"/>
    <w:rsid w:val="009D2D28"/>
    <w:rsid w:val="009D32D6"/>
    <w:rsid w:val="009D3329"/>
    <w:rsid w:val="009D3485"/>
    <w:rsid w:val="009D3494"/>
    <w:rsid w:val="009D3615"/>
    <w:rsid w:val="009D3634"/>
    <w:rsid w:val="009D3E52"/>
    <w:rsid w:val="009D42B9"/>
    <w:rsid w:val="009D4427"/>
    <w:rsid w:val="009D4BBA"/>
    <w:rsid w:val="009D5284"/>
    <w:rsid w:val="009D5436"/>
    <w:rsid w:val="009D5935"/>
    <w:rsid w:val="009D64ED"/>
    <w:rsid w:val="009D6E41"/>
    <w:rsid w:val="009D6ECB"/>
    <w:rsid w:val="009D7017"/>
    <w:rsid w:val="009D7209"/>
    <w:rsid w:val="009D792F"/>
    <w:rsid w:val="009D79D1"/>
    <w:rsid w:val="009D7AF4"/>
    <w:rsid w:val="009E0033"/>
    <w:rsid w:val="009E04CE"/>
    <w:rsid w:val="009E0CCC"/>
    <w:rsid w:val="009E0CF6"/>
    <w:rsid w:val="009E0ECE"/>
    <w:rsid w:val="009E0F10"/>
    <w:rsid w:val="009E0FA0"/>
    <w:rsid w:val="009E1295"/>
    <w:rsid w:val="009E189F"/>
    <w:rsid w:val="009E1908"/>
    <w:rsid w:val="009E2081"/>
    <w:rsid w:val="009E2544"/>
    <w:rsid w:val="009E2767"/>
    <w:rsid w:val="009E2D18"/>
    <w:rsid w:val="009E2D49"/>
    <w:rsid w:val="009E2D77"/>
    <w:rsid w:val="009E2F9E"/>
    <w:rsid w:val="009E3384"/>
    <w:rsid w:val="009E3772"/>
    <w:rsid w:val="009E389F"/>
    <w:rsid w:val="009E4742"/>
    <w:rsid w:val="009E508E"/>
    <w:rsid w:val="009E5724"/>
    <w:rsid w:val="009E57C1"/>
    <w:rsid w:val="009E5CD3"/>
    <w:rsid w:val="009E60C5"/>
    <w:rsid w:val="009E624A"/>
    <w:rsid w:val="009E62D5"/>
    <w:rsid w:val="009E6B27"/>
    <w:rsid w:val="009E6C6D"/>
    <w:rsid w:val="009E7A40"/>
    <w:rsid w:val="009E7C36"/>
    <w:rsid w:val="009E7D5E"/>
    <w:rsid w:val="009E7E96"/>
    <w:rsid w:val="009F015C"/>
    <w:rsid w:val="009F0259"/>
    <w:rsid w:val="009F07D9"/>
    <w:rsid w:val="009F0C29"/>
    <w:rsid w:val="009F0C3D"/>
    <w:rsid w:val="009F0EBC"/>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365"/>
    <w:rsid w:val="009F43C2"/>
    <w:rsid w:val="009F458D"/>
    <w:rsid w:val="009F46B9"/>
    <w:rsid w:val="009F4C6F"/>
    <w:rsid w:val="009F4EA8"/>
    <w:rsid w:val="009F503A"/>
    <w:rsid w:val="009F5B37"/>
    <w:rsid w:val="009F5E5F"/>
    <w:rsid w:val="009F5EB5"/>
    <w:rsid w:val="009F5EFF"/>
    <w:rsid w:val="009F60EA"/>
    <w:rsid w:val="009F68B4"/>
    <w:rsid w:val="009F69F3"/>
    <w:rsid w:val="009F6D77"/>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1D8E"/>
    <w:rsid w:val="00A02023"/>
    <w:rsid w:val="00A02177"/>
    <w:rsid w:val="00A0220F"/>
    <w:rsid w:val="00A02C5D"/>
    <w:rsid w:val="00A02F30"/>
    <w:rsid w:val="00A033FB"/>
    <w:rsid w:val="00A0343E"/>
    <w:rsid w:val="00A03BD9"/>
    <w:rsid w:val="00A03C56"/>
    <w:rsid w:val="00A03EF7"/>
    <w:rsid w:val="00A03F63"/>
    <w:rsid w:val="00A04705"/>
    <w:rsid w:val="00A04ABA"/>
    <w:rsid w:val="00A04ED6"/>
    <w:rsid w:val="00A055EA"/>
    <w:rsid w:val="00A05BD0"/>
    <w:rsid w:val="00A05E2D"/>
    <w:rsid w:val="00A061E3"/>
    <w:rsid w:val="00A06442"/>
    <w:rsid w:val="00A06977"/>
    <w:rsid w:val="00A06AE6"/>
    <w:rsid w:val="00A06C7A"/>
    <w:rsid w:val="00A076CD"/>
    <w:rsid w:val="00A078D1"/>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3EAA"/>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6D"/>
    <w:rsid w:val="00A21471"/>
    <w:rsid w:val="00A2157E"/>
    <w:rsid w:val="00A2199A"/>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3"/>
    <w:rsid w:val="00A25A3F"/>
    <w:rsid w:val="00A2614E"/>
    <w:rsid w:val="00A265CE"/>
    <w:rsid w:val="00A26D69"/>
    <w:rsid w:val="00A2746C"/>
    <w:rsid w:val="00A279B4"/>
    <w:rsid w:val="00A27F29"/>
    <w:rsid w:val="00A300EF"/>
    <w:rsid w:val="00A30357"/>
    <w:rsid w:val="00A30359"/>
    <w:rsid w:val="00A303A0"/>
    <w:rsid w:val="00A309E8"/>
    <w:rsid w:val="00A312C7"/>
    <w:rsid w:val="00A313D8"/>
    <w:rsid w:val="00A3193C"/>
    <w:rsid w:val="00A31D08"/>
    <w:rsid w:val="00A31E5C"/>
    <w:rsid w:val="00A3221E"/>
    <w:rsid w:val="00A323D9"/>
    <w:rsid w:val="00A325A4"/>
    <w:rsid w:val="00A32DE3"/>
    <w:rsid w:val="00A3302D"/>
    <w:rsid w:val="00A335E1"/>
    <w:rsid w:val="00A33BA8"/>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6BBE"/>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2B53"/>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DA7"/>
    <w:rsid w:val="00A54F94"/>
    <w:rsid w:val="00A553F7"/>
    <w:rsid w:val="00A5594D"/>
    <w:rsid w:val="00A55AE4"/>
    <w:rsid w:val="00A55BBB"/>
    <w:rsid w:val="00A55BBF"/>
    <w:rsid w:val="00A55DF5"/>
    <w:rsid w:val="00A56371"/>
    <w:rsid w:val="00A567D6"/>
    <w:rsid w:val="00A567DB"/>
    <w:rsid w:val="00A5687A"/>
    <w:rsid w:val="00A571A9"/>
    <w:rsid w:val="00A571B3"/>
    <w:rsid w:val="00A5746B"/>
    <w:rsid w:val="00A57748"/>
    <w:rsid w:val="00A57AA2"/>
    <w:rsid w:val="00A57AD5"/>
    <w:rsid w:val="00A57C5C"/>
    <w:rsid w:val="00A60105"/>
    <w:rsid w:val="00A6065C"/>
    <w:rsid w:val="00A60C5F"/>
    <w:rsid w:val="00A60F0C"/>
    <w:rsid w:val="00A61838"/>
    <w:rsid w:val="00A619BA"/>
    <w:rsid w:val="00A62662"/>
    <w:rsid w:val="00A6269B"/>
    <w:rsid w:val="00A62897"/>
    <w:rsid w:val="00A62FF1"/>
    <w:rsid w:val="00A63150"/>
    <w:rsid w:val="00A63410"/>
    <w:rsid w:val="00A6354A"/>
    <w:rsid w:val="00A63612"/>
    <w:rsid w:val="00A63839"/>
    <w:rsid w:val="00A63F2F"/>
    <w:rsid w:val="00A63FFE"/>
    <w:rsid w:val="00A6407C"/>
    <w:rsid w:val="00A643EB"/>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AAD"/>
    <w:rsid w:val="00A70D38"/>
    <w:rsid w:val="00A70EF5"/>
    <w:rsid w:val="00A71027"/>
    <w:rsid w:val="00A71219"/>
    <w:rsid w:val="00A7185A"/>
    <w:rsid w:val="00A71869"/>
    <w:rsid w:val="00A718F3"/>
    <w:rsid w:val="00A71CA5"/>
    <w:rsid w:val="00A72307"/>
    <w:rsid w:val="00A7246A"/>
    <w:rsid w:val="00A72863"/>
    <w:rsid w:val="00A72936"/>
    <w:rsid w:val="00A72C56"/>
    <w:rsid w:val="00A72CC7"/>
    <w:rsid w:val="00A72D7D"/>
    <w:rsid w:val="00A72EC9"/>
    <w:rsid w:val="00A73035"/>
    <w:rsid w:val="00A7342E"/>
    <w:rsid w:val="00A736B9"/>
    <w:rsid w:val="00A7389D"/>
    <w:rsid w:val="00A73975"/>
    <w:rsid w:val="00A73C76"/>
    <w:rsid w:val="00A73EE1"/>
    <w:rsid w:val="00A746FF"/>
    <w:rsid w:val="00A74BFC"/>
    <w:rsid w:val="00A75001"/>
    <w:rsid w:val="00A7508B"/>
    <w:rsid w:val="00A75176"/>
    <w:rsid w:val="00A754B6"/>
    <w:rsid w:val="00A755EE"/>
    <w:rsid w:val="00A7585A"/>
    <w:rsid w:val="00A75EF7"/>
    <w:rsid w:val="00A760CE"/>
    <w:rsid w:val="00A76AA7"/>
    <w:rsid w:val="00A77314"/>
    <w:rsid w:val="00A7755A"/>
    <w:rsid w:val="00A7758E"/>
    <w:rsid w:val="00A77AA8"/>
    <w:rsid w:val="00A80074"/>
    <w:rsid w:val="00A80244"/>
    <w:rsid w:val="00A8047D"/>
    <w:rsid w:val="00A80A75"/>
    <w:rsid w:val="00A80DF6"/>
    <w:rsid w:val="00A81908"/>
    <w:rsid w:val="00A81B12"/>
    <w:rsid w:val="00A81DE9"/>
    <w:rsid w:val="00A8213E"/>
    <w:rsid w:val="00A8228F"/>
    <w:rsid w:val="00A82A20"/>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EF5"/>
    <w:rsid w:val="00A87F58"/>
    <w:rsid w:val="00A90223"/>
    <w:rsid w:val="00A9058F"/>
    <w:rsid w:val="00A90680"/>
    <w:rsid w:val="00A90C97"/>
    <w:rsid w:val="00A90E03"/>
    <w:rsid w:val="00A90FC0"/>
    <w:rsid w:val="00A9101B"/>
    <w:rsid w:val="00A9114E"/>
    <w:rsid w:val="00A9153B"/>
    <w:rsid w:val="00A91592"/>
    <w:rsid w:val="00A91DFB"/>
    <w:rsid w:val="00A91FC0"/>
    <w:rsid w:val="00A9225D"/>
    <w:rsid w:val="00A929A0"/>
    <w:rsid w:val="00A9334D"/>
    <w:rsid w:val="00A93418"/>
    <w:rsid w:val="00A9370E"/>
    <w:rsid w:val="00A937BC"/>
    <w:rsid w:val="00A93C04"/>
    <w:rsid w:val="00A9439A"/>
    <w:rsid w:val="00A9446A"/>
    <w:rsid w:val="00A94567"/>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7F3"/>
    <w:rsid w:val="00A97850"/>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672"/>
    <w:rsid w:val="00AA6D49"/>
    <w:rsid w:val="00AA77BE"/>
    <w:rsid w:val="00AA7880"/>
    <w:rsid w:val="00AA7BE2"/>
    <w:rsid w:val="00AA7C36"/>
    <w:rsid w:val="00AB053E"/>
    <w:rsid w:val="00AB0B69"/>
    <w:rsid w:val="00AB0D5A"/>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63F"/>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2598"/>
    <w:rsid w:val="00AC2D1B"/>
    <w:rsid w:val="00AC2DAB"/>
    <w:rsid w:val="00AC2DCD"/>
    <w:rsid w:val="00AC2F1F"/>
    <w:rsid w:val="00AC2FFF"/>
    <w:rsid w:val="00AC36C6"/>
    <w:rsid w:val="00AC39F3"/>
    <w:rsid w:val="00AC3AA9"/>
    <w:rsid w:val="00AC3CBA"/>
    <w:rsid w:val="00AC3D12"/>
    <w:rsid w:val="00AC3F91"/>
    <w:rsid w:val="00AC40CD"/>
    <w:rsid w:val="00AC4153"/>
    <w:rsid w:val="00AC4491"/>
    <w:rsid w:val="00AC457A"/>
    <w:rsid w:val="00AC4C2A"/>
    <w:rsid w:val="00AC4C4E"/>
    <w:rsid w:val="00AC4CC8"/>
    <w:rsid w:val="00AC4D2F"/>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22E"/>
    <w:rsid w:val="00AD1783"/>
    <w:rsid w:val="00AD17F3"/>
    <w:rsid w:val="00AD195C"/>
    <w:rsid w:val="00AD200C"/>
    <w:rsid w:val="00AD2068"/>
    <w:rsid w:val="00AD21BC"/>
    <w:rsid w:val="00AD2377"/>
    <w:rsid w:val="00AD28DC"/>
    <w:rsid w:val="00AD29E0"/>
    <w:rsid w:val="00AD2A87"/>
    <w:rsid w:val="00AD2B7C"/>
    <w:rsid w:val="00AD3D92"/>
    <w:rsid w:val="00AD3ED5"/>
    <w:rsid w:val="00AD3F0E"/>
    <w:rsid w:val="00AD4269"/>
    <w:rsid w:val="00AD4CB6"/>
    <w:rsid w:val="00AD4F0A"/>
    <w:rsid w:val="00AD51E1"/>
    <w:rsid w:val="00AD577B"/>
    <w:rsid w:val="00AD57C3"/>
    <w:rsid w:val="00AD59DE"/>
    <w:rsid w:val="00AD6049"/>
    <w:rsid w:val="00AD658B"/>
    <w:rsid w:val="00AD681B"/>
    <w:rsid w:val="00AD6D99"/>
    <w:rsid w:val="00AD7050"/>
    <w:rsid w:val="00AD72A8"/>
    <w:rsid w:val="00AD73EB"/>
    <w:rsid w:val="00AD7744"/>
    <w:rsid w:val="00AD7800"/>
    <w:rsid w:val="00AD7B16"/>
    <w:rsid w:val="00AD7B61"/>
    <w:rsid w:val="00AE008A"/>
    <w:rsid w:val="00AE0220"/>
    <w:rsid w:val="00AE0328"/>
    <w:rsid w:val="00AE03BB"/>
    <w:rsid w:val="00AE0C0E"/>
    <w:rsid w:val="00AE0C39"/>
    <w:rsid w:val="00AE0F82"/>
    <w:rsid w:val="00AE10C8"/>
    <w:rsid w:val="00AE1326"/>
    <w:rsid w:val="00AE14DD"/>
    <w:rsid w:val="00AE15B0"/>
    <w:rsid w:val="00AE1640"/>
    <w:rsid w:val="00AE1BBE"/>
    <w:rsid w:val="00AE1E81"/>
    <w:rsid w:val="00AE203A"/>
    <w:rsid w:val="00AE2214"/>
    <w:rsid w:val="00AE2275"/>
    <w:rsid w:val="00AE23BC"/>
    <w:rsid w:val="00AE278E"/>
    <w:rsid w:val="00AE27A6"/>
    <w:rsid w:val="00AE3131"/>
    <w:rsid w:val="00AE36EB"/>
    <w:rsid w:val="00AE3A94"/>
    <w:rsid w:val="00AE3A9F"/>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55"/>
    <w:rsid w:val="00AE6E8A"/>
    <w:rsid w:val="00AE6F55"/>
    <w:rsid w:val="00AE732B"/>
    <w:rsid w:val="00AE738E"/>
    <w:rsid w:val="00AE771B"/>
    <w:rsid w:val="00AE7DF1"/>
    <w:rsid w:val="00AE7F05"/>
    <w:rsid w:val="00AF00A6"/>
    <w:rsid w:val="00AF04A2"/>
    <w:rsid w:val="00AF07F9"/>
    <w:rsid w:val="00AF0AE8"/>
    <w:rsid w:val="00AF0D78"/>
    <w:rsid w:val="00AF10C0"/>
    <w:rsid w:val="00AF10FE"/>
    <w:rsid w:val="00AF122E"/>
    <w:rsid w:val="00AF16FF"/>
    <w:rsid w:val="00AF196E"/>
    <w:rsid w:val="00AF1A74"/>
    <w:rsid w:val="00AF2158"/>
    <w:rsid w:val="00AF21F4"/>
    <w:rsid w:val="00AF26F2"/>
    <w:rsid w:val="00AF273D"/>
    <w:rsid w:val="00AF29A7"/>
    <w:rsid w:val="00AF2A37"/>
    <w:rsid w:val="00AF321B"/>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1D9"/>
    <w:rsid w:val="00AF5251"/>
    <w:rsid w:val="00AF6457"/>
    <w:rsid w:val="00AF673A"/>
    <w:rsid w:val="00AF679C"/>
    <w:rsid w:val="00AF690E"/>
    <w:rsid w:val="00AF6AB5"/>
    <w:rsid w:val="00AF6C2F"/>
    <w:rsid w:val="00AF6F62"/>
    <w:rsid w:val="00AF70A9"/>
    <w:rsid w:val="00AF7657"/>
    <w:rsid w:val="00AF7A40"/>
    <w:rsid w:val="00B005BC"/>
    <w:rsid w:val="00B00626"/>
    <w:rsid w:val="00B0072D"/>
    <w:rsid w:val="00B00E16"/>
    <w:rsid w:val="00B01079"/>
    <w:rsid w:val="00B01605"/>
    <w:rsid w:val="00B01770"/>
    <w:rsid w:val="00B01868"/>
    <w:rsid w:val="00B01C3B"/>
    <w:rsid w:val="00B01D31"/>
    <w:rsid w:val="00B01E60"/>
    <w:rsid w:val="00B028F1"/>
    <w:rsid w:val="00B0301B"/>
    <w:rsid w:val="00B034FE"/>
    <w:rsid w:val="00B0375F"/>
    <w:rsid w:val="00B03948"/>
    <w:rsid w:val="00B039B4"/>
    <w:rsid w:val="00B03B9F"/>
    <w:rsid w:val="00B03D7C"/>
    <w:rsid w:val="00B03FBB"/>
    <w:rsid w:val="00B03FC4"/>
    <w:rsid w:val="00B04580"/>
    <w:rsid w:val="00B047C5"/>
    <w:rsid w:val="00B047E3"/>
    <w:rsid w:val="00B0515F"/>
    <w:rsid w:val="00B05B2B"/>
    <w:rsid w:val="00B0646E"/>
    <w:rsid w:val="00B067A2"/>
    <w:rsid w:val="00B06946"/>
    <w:rsid w:val="00B06B55"/>
    <w:rsid w:val="00B07200"/>
    <w:rsid w:val="00B07436"/>
    <w:rsid w:val="00B0779D"/>
    <w:rsid w:val="00B077BE"/>
    <w:rsid w:val="00B0794A"/>
    <w:rsid w:val="00B07AC8"/>
    <w:rsid w:val="00B07B03"/>
    <w:rsid w:val="00B07BCD"/>
    <w:rsid w:val="00B07BE4"/>
    <w:rsid w:val="00B07E09"/>
    <w:rsid w:val="00B102EE"/>
    <w:rsid w:val="00B1039B"/>
    <w:rsid w:val="00B10474"/>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C8"/>
    <w:rsid w:val="00B21AF3"/>
    <w:rsid w:val="00B21BC5"/>
    <w:rsid w:val="00B21CFC"/>
    <w:rsid w:val="00B21D05"/>
    <w:rsid w:val="00B220BF"/>
    <w:rsid w:val="00B22598"/>
    <w:rsid w:val="00B2266D"/>
    <w:rsid w:val="00B226D8"/>
    <w:rsid w:val="00B22730"/>
    <w:rsid w:val="00B22A7E"/>
    <w:rsid w:val="00B2398D"/>
    <w:rsid w:val="00B24206"/>
    <w:rsid w:val="00B24222"/>
    <w:rsid w:val="00B244E3"/>
    <w:rsid w:val="00B24909"/>
    <w:rsid w:val="00B24D5C"/>
    <w:rsid w:val="00B24F51"/>
    <w:rsid w:val="00B25438"/>
    <w:rsid w:val="00B25C81"/>
    <w:rsid w:val="00B25FBE"/>
    <w:rsid w:val="00B26325"/>
    <w:rsid w:val="00B26374"/>
    <w:rsid w:val="00B266F1"/>
    <w:rsid w:val="00B26926"/>
    <w:rsid w:val="00B26C2F"/>
    <w:rsid w:val="00B26CA4"/>
    <w:rsid w:val="00B27758"/>
    <w:rsid w:val="00B2793E"/>
    <w:rsid w:val="00B30414"/>
    <w:rsid w:val="00B30616"/>
    <w:rsid w:val="00B30BEB"/>
    <w:rsid w:val="00B30DE2"/>
    <w:rsid w:val="00B30EE7"/>
    <w:rsid w:val="00B30EFE"/>
    <w:rsid w:val="00B3130B"/>
    <w:rsid w:val="00B31360"/>
    <w:rsid w:val="00B314E9"/>
    <w:rsid w:val="00B318CB"/>
    <w:rsid w:val="00B320FD"/>
    <w:rsid w:val="00B32380"/>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1FF3"/>
    <w:rsid w:val="00B424E1"/>
    <w:rsid w:val="00B424F7"/>
    <w:rsid w:val="00B42750"/>
    <w:rsid w:val="00B429D5"/>
    <w:rsid w:val="00B42C1F"/>
    <w:rsid w:val="00B42D22"/>
    <w:rsid w:val="00B42EB2"/>
    <w:rsid w:val="00B43355"/>
    <w:rsid w:val="00B43476"/>
    <w:rsid w:val="00B4354D"/>
    <w:rsid w:val="00B438F3"/>
    <w:rsid w:val="00B43918"/>
    <w:rsid w:val="00B4462D"/>
    <w:rsid w:val="00B4469B"/>
    <w:rsid w:val="00B44E2B"/>
    <w:rsid w:val="00B44FF4"/>
    <w:rsid w:val="00B4504C"/>
    <w:rsid w:val="00B450E0"/>
    <w:rsid w:val="00B4538F"/>
    <w:rsid w:val="00B46476"/>
    <w:rsid w:val="00B464B6"/>
    <w:rsid w:val="00B46527"/>
    <w:rsid w:val="00B46548"/>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103"/>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5E"/>
    <w:rsid w:val="00B53F66"/>
    <w:rsid w:val="00B552EC"/>
    <w:rsid w:val="00B5556D"/>
    <w:rsid w:val="00B55989"/>
    <w:rsid w:val="00B5633F"/>
    <w:rsid w:val="00B565FD"/>
    <w:rsid w:val="00B57137"/>
    <w:rsid w:val="00B57386"/>
    <w:rsid w:val="00B5751E"/>
    <w:rsid w:val="00B57687"/>
    <w:rsid w:val="00B57B58"/>
    <w:rsid w:val="00B57B69"/>
    <w:rsid w:val="00B57E14"/>
    <w:rsid w:val="00B60101"/>
    <w:rsid w:val="00B6090F"/>
    <w:rsid w:val="00B60AD6"/>
    <w:rsid w:val="00B616AE"/>
    <w:rsid w:val="00B61757"/>
    <w:rsid w:val="00B6181C"/>
    <w:rsid w:val="00B61957"/>
    <w:rsid w:val="00B61B98"/>
    <w:rsid w:val="00B61BBC"/>
    <w:rsid w:val="00B61E2E"/>
    <w:rsid w:val="00B629EF"/>
    <w:rsid w:val="00B629F9"/>
    <w:rsid w:val="00B62CC5"/>
    <w:rsid w:val="00B63205"/>
    <w:rsid w:val="00B6336C"/>
    <w:rsid w:val="00B636BE"/>
    <w:rsid w:val="00B63CE2"/>
    <w:rsid w:val="00B63F21"/>
    <w:rsid w:val="00B63F2D"/>
    <w:rsid w:val="00B64156"/>
    <w:rsid w:val="00B6421A"/>
    <w:rsid w:val="00B6461A"/>
    <w:rsid w:val="00B6470C"/>
    <w:rsid w:val="00B6488D"/>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8"/>
    <w:rsid w:val="00B71D9E"/>
    <w:rsid w:val="00B71DE0"/>
    <w:rsid w:val="00B71EC6"/>
    <w:rsid w:val="00B71EED"/>
    <w:rsid w:val="00B7238D"/>
    <w:rsid w:val="00B72592"/>
    <w:rsid w:val="00B728D7"/>
    <w:rsid w:val="00B72A03"/>
    <w:rsid w:val="00B72BF8"/>
    <w:rsid w:val="00B72FDC"/>
    <w:rsid w:val="00B73630"/>
    <w:rsid w:val="00B73719"/>
    <w:rsid w:val="00B7408F"/>
    <w:rsid w:val="00B7425A"/>
    <w:rsid w:val="00B74C18"/>
    <w:rsid w:val="00B75340"/>
    <w:rsid w:val="00B75574"/>
    <w:rsid w:val="00B76079"/>
    <w:rsid w:val="00B761C0"/>
    <w:rsid w:val="00B76350"/>
    <w:rsid w:val="00B76557"/>
    <w:rsid w:val="00B76840"/>
    <w:rsid w:val="00B768CF"/>
    <w:rsid w:val="00B76A23"/>
    <w:rsid w:val="00B76D09"/>
    <w:rsid w:val="00B76DBC"/>
    <w:rsid w:val="00B76F0A"/>
    <w:rsid w:val="00B77834"/>
    <w:rsid w:val="00B77B7C"/>
    <w:rsid w:val="00B77BF3"/>
    <w:rsid w:val="00B77CF1"/>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353"/>
    <w:rsid w:val="00B95788"/>
    <w:rsid w:val="00B95B09"/>
    <w:rsid w:val="00B95ECA"/>
    <w:rsid w:val="00B95FED"/>
    <w:rsid w:val="00B9651C"/>
    <w:rsid w:val="00B966E6"/>
    <w:rsid w:val="00B96808"/>
    <w:rsid w:val="00B969FE"/>
    <w:rsid w:val="00B96AE1"/>
    <w:rsid w:val="00B96D63"/>
    <w:rsid w:val="00B96E42"/>
    <w:rsid w:val="00B96EED"/>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C6D"/>
    <w:rsid w:val="00BA2EEC"/>
    <w:rsid w:val="00BA312F"/>
    <w:rsid w:val="00BA3D86"/>
    <w:rsid w:val="00BA3FE0"/>
    <w:rsid w:val="00BA410C"/>
    <w:rsid w:val="00BA44F4"/>
    <w:rsid w:val="00BA461B"/>
    <w:rsid w:val="00BA481F"/>
    <w:rsid w:val="00BA5079"/>
    <w:rsid w:val="00BA50B8"/>
    <w:rsid w:val="00BA5484"/>
    <w:rsid w:val="00BA5D07"/>
    <w:rsid w:val="00BA5D96"/>
    <w:rsid w:val="00BA5FD6"/>
    <w:rsid w:val="00BA60AC"/>
    <w:rsid w:val="00BA63F4"/>
    <w:rsid w:val="00BA64DF"/>
    <w:rsid w:val="00BA6DF0"/>
    <w:rsid w:val="00BA6E22"/>
    <w:rsid w:val="00BA6FB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988"/>
    <w:rsid w:val="00BB1AC6"/>
    <w:rsid w:val="00BB1C40"/>
    <w:rsid w:val="00BB232B"/>
    <w:rsid w:val="00BB2468"/>
    <w:rsid w:val="00BB2CE4"/>
    <w:rsid w:val="00BB35B0"/>
    <w:rsid w:val="00BB42EE"/>
    <w:rsid w:val="00BB43B0"/>
    <w:rsid w:val="00BB4653"/>
    <w:rsid w:val="00BB4827"/>
    <w:rsid w:val="00BB5516"/>
    <w:rsid w:val="00BB55E2"/>
    <w:rsid w:val="00BB567E"/>
    <w:rsid w:val="00BB5825"/>
    <w:rsid w:val="00BB5C7D"/>
    <w:rsid w:val="00BB5CDA"/>
    <w:rsid w:val="00BB68AC"/>
    <w:rsid w:val="00BB6A5C"/>
    <w:rsid w:val="00BB6F93"/>
    <w:rsid w:val="00BB7112"/>
    <w:rsid w:val="00BB725D"/>
    <w:rsid w:val="00BB726A"/>
    <w:rsid w:val="00BB737D"/>
    <w:rsid w:val="00BB7D7B"/>
    <w:rsid w:val="00BC063B"/>
    <w:rsid w:val="00BC0697"/>
    <w:rsid w:val="00BC0914"/>
    <w:rsid w:val="00BC1DF1"/>
    <w:rsid w:val="00BC1E60"/>
    <w:rsid w:val="00BC22E7"/>
    <w:rsid w:val="00BC28C2"/>
    <w:rsid w:val="00BC2D0C"/>
    <w:rsid w:val="00BC2D6C"/>
    <w:rsid w:val="00BC2DF5"/>
    <w:rsid w:val="00BC300B"/>
    <w:rsid w:val="00BC32B1"/>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971"/>
    <w:rsid w:val="00BC5A75"/>
    <w:rsid w:val="00BC5AF9"/>
    <w:rsid w:val="00BC5BC3"/>
    <w:rsid w:val="00BC5E44"/>
    <w:rsid w:val="00BC5F2E"/>
    <w:rsid w:val="00BC6726"/>
    <w:rsid w:val="00BC674F"/>
    <w:rsid w:val="00BC6786"/>
    <w:rsid w:val="00BC7225"/>
    <w:rsid w:val="00BC7649"/>
    <w:rsid w:val="00BD0CD3"/>
    <w:rsid w:val="00BD1475"/>
    <w:rsid w:val="00BD15D2"/>
    <w:rsid w:val="00BD16AA"/>
    <w:rsid w:val="00BD1922"/>
    <w:rsid w:val="00BD1B0E"/>
    <w:rsid w:val="00BD1F97"/>
    <w:rsid w:val="00BD20F1"/>
    <w:rsid w:val="00BD230E"/>
    <w:rsid w:val="00BD2A05"/>
    <w:rsid w:val="00BD2E43"/>
    <w:rsid w:val="00BD32DE"/>
    <w:rsid w:val="00BD3475"/>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844"/>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BAA"/>
    <w:rsid w:val="00BE3E94"/>
    <w:rsid w:val="00BE43ED"/>
    <w:rsid w:val="00BE44C2"/>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4E9"/>
    <w:rsid w:val="00BF463D"/>
    <w:rsid w:val="00BF48C5"/>
    <w:rsid w:val="00BF4C74"/>
    <w:rsid w:val="00BF4DCB"/>
    <w:rsid w:val="00BF4F68"/>
    <w:rsid w:val="00BF4FD3"/>
    <w:rsid w:val="00BF54A2"/>
    <w:rsid w:val="00BF5536"/>
    <w:rsid w:val="00BF5726"/>
    <w:rsid w:val="00BF599B"/>
    <w:rsid w:val="00BF5DC1"/>
    <w:rsid w:val="00BF6356"/>
    <w:rsid w:val="00BF6556"/>
    <w:rsid w:val="00BF6AA6"/>
    <w:rsid w:val="00BF6B22"/>
    <w:rsid w:val="00BF73C6"/>
    <w:rsid w:val="00BF7517"/>
    <w:rsid w:val="00BF75A2"/>
    <w:rsid w:val="00BF7CBE"/>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0CA"/>
    <w:rsid w:val="00C031C6"/>
    <w:rsid w:val="00C03267"/>
    <w:rsid w:val="00C037CC"/>
    <w:rsid w:val="00C03D19"/>
    <w:rsid w:val="00C0414C"/>
    <w:rsid w:val="00C0492D"/>
    <w:rsid w:val="00C04999"/>
    <w:rsid w:val="00C04F46"/>
    <w:rsid w:val="00C05441"/>
    <w:rsid w:val="00C05555"/>
    <w:rsid w:val="00C059BF"/>
    <w:rsid w:val="00C0615A"/>
    <w:rsid w:val="00C061A9"/>
    <w:rsid w:val="00C061F6"/>
    <w:rsid w:val="00C066FA"/>
    <w:rsid w:val="00C07069"/>
    <w:rsid w:val="00C0717D"/>
    <w:rsid w:val="00C07194"/>
    <w:rsid w:val="00C0760E"/>
    <w:rsid w:val="00C079EC"/>
    <w:rsid w:val="00C07A37"/>
    <w:rsid w:val="00C07EA1"/>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2CC0"/>
    <w:rsid w:val="00C1315A"/>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4F2"/>
    <w:rsid w:val="00C228A9"/>
    <w:rsid w:val="00C22B78"/>
    <w:rsid w:val="00C22CF8"/>
    <w:rsid w:val="00C22EC2"/>
    <w:rsid w:val="00C2308B"/>
    <w:rsid w:val="00C23171"/>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210E"/>
    <w:rsid w:val="00C3290D"/>
    <w:rsid w:val="00C32D74"/>
    <w:rsid w:val="00C3307C"/>
    <w:rsid w:val="00C3369B"/>
    <w:rsid w:val="00C3383D"/>
    <w:rsid w:val="00C33935"/>
    <w:rsid w:val="00C33C22"/>
    <w:rsid w:val="00C33E6F"/>
    <w:rsid w:val="00C34562"/>
    <w:rsid w:val="00C34622"/>
    <w:rsid w:val="00C34C25"/>
    <w:rsid w:val="00C3503C"/>
    <w:rsid w:val="00C3556D"/>
    <w:rsid w:val="00C359A9"/>
    <w:rsid w:val="00C35D7C"/>
    <w:rsid w:val="00C35E4B"/>
    <w:rsid w:val="00C36331"/>
    <w:rsid w:val="00C36431"/>
    <w:rsid w:val="00C369BC"/>
    <w:rsid w:val="00C36B9C"/>
    <w:rsid w:val="00C37482"/>
    <w:rsid w:val="00C374CC"/>
    <w:rsid w:val="00C37E66"/>
    <w:rsid w:val="00C40409"/>
    <w:rsid w:val="00C409B4"/>
    <w:rsid w:val="00C41468"/>
    <w:rsid w:val="00C41E9B"/>
    <w:rsid w:val="00C41FF8"/>
    <w:rsid w:val="00C42562"/>
    <w:rsid w:val="00C432DF"/>
    <w:rsid w:val="00C440AC"/>
    <w:rsid w:val="00C44338"/>
    <w:rsid w:val="00C4497D"/>
    <w:rsid w:val="00C454AA"/>
    <w:rsid w:val="00C45532"/>
    <w:rsid w:val="00C46083"/>
    <w:rsid w:val="00C46368"/>
    <w:rsid w:val="00C4647C"/>
    <w:rsid w:val="00C46595"/>
    <w:rsid w:val="00C46E4B"/>
    <w:rsid w:val="00C4708C"/>
    <w:rsid w:val="00C470D3"/>
    <w:rsid w:val="00C477AA"/>
    <w:rsid w:val="00C47909"/>
    <w:rsid w:val="00C47CDA"/>
    <w:rsid w:val="00C5007A"/>
    <w:rsid w:val="00C50124"/>
    <w:rsid w:val="00C503ED"/>
    <w:rsid w:val="00C5079B"/>
    <w:rsid w:val="00C50924"/>
    <w:rsid w:val="00C5106A"/>
    <w:rsid w:val="00C510A7"/>
    <w:rsid w:val="00C5132D"/>
    <w:rsid w:val="00C51759"/>
    <w:rsid w:val="00C518F2"/>
    <w:rsid w:val="00C5192D"/>
    <w:rsid w:val="00C51C6B"/>
    <w:rsid w:val="00C520EA"/>
    <w:rsid w:val="00C5224C"/>
    <w:rsid w:val="00C526E5"/>
    <w:rsid w:val="00C526E7"/>
    <w:rsid w:val="00C52A63"/>
    <w:rsid w:val="00C53BE1"/>
    <w:rsid w:val="00C542F8"/>
    <w:rsid w:val="00C548F3"/>
    <w:rsid w:val="00C54A98"/>
    <w:rsid w:val="00C54CF7"/>
    <w:rsid w:val="00C54FFF"/>
    <w:rsid w:val="00C55098"/>
    <w:rsid w:val="00C551EF"/>
    <w:rsid w:val="00C554C6"/>
    <w:rsid w:val="00C55C90"/>
    <w:rsid w:val="00C55E44"/>
    <w:rsid w:val="00C55FA4"/>
    <w:rsid w:val="00C56295"/>
    <w:rsid w:val="00C56951"/>
    <w:rsid w:val="00C56A12"/>
    <w:rsid w:val="00C56E5A"/>
    <w:rsid w:val="00C574A0"/>
    <w:rsid w:val="00C57958"/>
    <w:rsid w:val="00C57ABE"/>
    <w:rsid w:val="00C57F21"/>
    <w:rsid w:val="00C602EA"/>
    <w:rsid w:val="00C604E7"/>
    <w:rsid w:val="00C60637"/>
    <w:rsid w:val="00C607A3"/>
    <w:rsid w:val="00C609BA"/>
    <w:rsid w:val="00C60D5B"/>
    <w:rsid w:val="00C6225C"/>
    <w:rsid w:val="00C62567"/>
    <w:rsid w:val="00C6300E"/>
    <w:rsid w:val="00C630EB"/>
    <w:rsid w:val="00C633EB"/>
    <w:rsid w:val="00C63481"/>
    <w:rsid w:val="00C63A31"/>
    <w:rsid w:val="00C63E56"/>
    <w:rsid w:val="00C63E9B"/>
    <w:rsid w:val="00C63EFD"/>
    <w:rsid w:val="00C63F6E"/>
    <w:rsid w:val="00C64098"/>
    <w:rsid w:val="00C640A7"/>
    <w:rsid w:val="00C64195"/>
    <w:rsid w:val="00C6454E"/>
    <w:rsid w:val="00C64855"/>
    <w:rsid w:val="00C64EA7"/>
    <w:rsid w:val="00C65271"/>
    <w:rsid w:val="00C6531B"/>
    <w:rsid w:val="00C654F3"/>
    <w:rsid w:val="00C65504"/>
    <w:rsid w:val="00C65645"/>
    <w:rsid w:val="00C6596A"/>
    <w:rsid w:val="00C65BA6"/>
    <w:rsid w:val="00C65BBA"/>
    <w:rsid w:val="00C664B1"/>
    <w:rsid w:val="00C6671C"/>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E7"/>
    <w:rsid w:val="00C749EB"/>
    <w:rsid w:val="00C74A06"/>
    <w:rsid w:val="00C74B85"/>
    <w:rsid w:val="00C74B9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1FF8"/>
    <w:rsid w:val="00C8220C"/>
    <w:rsid w:val="00C82480"/>
    <w:rsid w:val="00C82602"/>
    <w:rsid w:val="00C82671"/>
    <w:rsid w:val="00C8277D"/>
    <w:rsid w:val="00C827CB"/>
    <w:rsid w:val="00C82919"/>
    <w:rsid w:val="00C82A82"/>
    <w:rsid w:val="00C8305D"/>
    <w:rsid w:val="00C837AC"/>
    <w:rsid w:val="00C8384E"/>
    <w:rsid w:val="00C83B3C"/>
    <w:rsid w:val="00C83BF2"/>
    <w:rsid w:val="00C83D4F"/>
    <w:rsid w:val="00C83D97"/>
    <w:rsid w:val="00C842E6"/>
    <w:rsid w:val="00C842F3"/>
    <w:rsid w:val="00C845CE"/>
    <w:rsid w:val="00C84E87"/>
    <w:rsid w:val="00C84EDF"/>
    <w:rsid w:val="00C8512A"/>
    <w:rsid w:val="00C85625"/>
    <w:rsid w:val="00C86031"/>
    <w:rsid w:val="00C864DC"/>
    <w:rsid w:val="00C8654C"/>
    <w:rsid w:val="00C86B3F"/>
    <w:rsid w:val="00C86E16"/>
    <w:rsid w:val="00C8709B"/>
    <w:rsid w:val="00C875EC"/>
    <w:rsid w:val="00C8791B"/>
    <w:rsid w:val="00C87DED"/>
    <w:rsid w:val="00C905B7"/>
    <w:rsid w:val="00C9128F"/>
    <w:rsid w:val="00C912EB"/>
    <w:rsid w:val="00C915B0"/>
    <w:rsid w:val="00C918BF"/>
    <w:rsid w:val="00C91D81"/>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4CD4"/>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B9D"/>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3BA"/>
    <w:rsid w:val="00CA4597"/>
    <w:rsid w:val="00CA4F66"/>
    <w:rsid w:val="00CA5283"/>
    <w:rsid w:val="00CA5446"/>
    <w:rsid w:val="00CA5558"/>
    <w:rsid w:val="00CA586A"/>
    <w:rsid w:val="00CA5B65"/>
    <w:rsid w:val="00CA5DFE"/>
    <w:rsid w:val="00CA5F47"/>
    <w:rsid w:val="00CA635F"/>
    <w:rsid w:val="00CA65AF"/>
    <w:rsid w:val="00CA6A0F"/>
    <w:rsid w:val="00CA6FD3"/>
    <w:rsid w:val="00CA7025"/>
    <w:rsid w:val="00CA71C4"/>
    <w:rsid w:val="00CA722D"/>
    <w:rsid w:val="00CA7E6D"/>
    <w:rsid w:val="00CA7EC6"/>
    <w:rsid w:val="00CB0105"/>
    <w:rsid w:val="00CB0728"/>
    <w:rsid w:val="00CB0922"/>
    <w:rsid w:val="00CB0ADA"/>
    <w:rsid w:val="00CB0B47"/>
    <w:rsid w:val="00CB0BDB"/>
    <w:rsid w:val="00CB0E33"/>
    <w:rsid w:val="00CB0FB9"/>
    <w:rsid w:val="00CB0FF8"/>
    <w:rsid w:val="00CB1694"/>
    <w:rsid w:val="00CB1958"/>
    <w:rsid w:val="00CB1E15"/>
    <w:rsid w:val="00CB1FF9"/>
    <w:rsid w:val="00CB21FE"/>
    <w:rsid w:val="00CB24CE"/>
    <w:rsid w:val="00CB2BB0"/>
    <w:rsid w:val="00CB2BCC"/>
    <w:rsid w:val="00CB3716"/>
    <w:rsid w:val="00CB372E"/>
    <w:rsid w:val="00CB37C3"/>
    <w:rsid w:val="00CB3B1F"/>
    <w:rsid w:val="00CB3B77"/>
    <w:rsid w:val="00CB3F97"/>
    <w:rsid w:val="00CB439E"/>
    <w:rsid w:val="00CB44AE"/>
    <w:rsid w:val="00CB49E5"/>
    <w:rsid w:val="00CB4D38"/>
    <w:rsid w:val="00CB5152"/>
    <w:rsid w:val="00CB554F"/>
    <w:rsid w:val="00CB5910"/>
    <w:rsid w:val="00CB5CF7"/>
    <w:rsid w:val="00CB5FAB"/>
    <w:rsid w:val="00CB6049"/>
    <w:rsid w:val="00CB64C8"/>
    <w:rsid w:val="00CB6E98"/>
    <w:rsid w:val="00CB6ED9"/>
    <w:rsid w:val="00CB6F8D"/>
    <w:rsid w:val="00CB72A3"/>
    <w:rsid w:val="00CB7C03"/>
    <w:rsid w:val="00CB7E3A"/>
    <w:rsid w:val="00CC02F0"/>
    <w:rsid w:val="00CC0366"/>
    <w:rsid w:val="00CC05E0"/>
    <w:rsid w:val="00CC0918"/>
    <w:rsid w:val="00CC0B03"/>
    <w:rsid w:val="00CC1299"/>
    <w:rsid w:val="00CC16A6"/>
    <w:rsid w:val="00CC197D"/>
    <w:rsid w:val="00CC19F7"/>
    <w:rsid w:val="00CC1A76"/>
    <w:rsid w:val="00CC1AF2"/>
    <w:rsid w:val="00CC1C6D"/>
    <w:rsid w:val="00CC1CC8"/>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C7C9C"/>
    <w:rsid w:val="00CD0471"/>
    <w:rsid w:val="00CD0512"/>
    <w:rsid w:val="00CD0DFA"/>
    <w:rsid w:val="00CD11A1"/>
    <w:rsid w:val="00CD1717"/>
    <w:rsid w:val="00CD1A8A"/>
    <w:rsid w:val="00CD1F95"/>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5635"/>
    <w:rsid w:val="00CD56D1"/>
    <w:rsid w:val="00CD572D"/>
    <w:rsid w:val="00CD608B"/>
    <w:rsid w:val="00CD6482"/>
    <w:rsid w:val="00CD68A5"/>
    <w:rsid w:val="00CD6B14"/>
    <w:rsid w:val="00CD7108"/>
    <w:rsid w:val="00CD71D5"/>
    <w:rsid w:val="00CD7254"/>
    <w:rsid w:val="00CD731E"/>
    <w:rsid w:val="00CD77C6"/>
    <w:rsid w:val="00CD780D"/>
    <w:rsid w:val="00CD7A72"/>
    <w:rsid w:val="00CD7D29"/>
    <w:rsid w:val="00CE0629"/>
    <w:rsid w:val="00CE0B0E"/>
    <w:rsid w:val="00CE0BAD"/>
    <w:rsid w:val="00CE0F25"/>
    <w:rsid w:val="00CE1667"/>
    <w:rsid w:val="00CE16DA"/>
    <w:rsid w:val="00CE1B9B"/>
    <w:rsid w:val="00CE1E12"/>
    <w:rsid w:val="00CE2705"/>
    <w:rsid w:val="00CE2734"/>
    <w:rsid w:val="00CE2749"/>
    <w:rsid w:val="00CE3009"/>
    <w:rsid w:val="00CE33BC"/>
    <w:rsid w:val="00CE3987"/>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4F6"/>
    <w:rsid w:val="00CF17D5"/>
    <w:rsid w:val="00CF1966"/>
    <w:rsid w:val="00CF19D1"/>
    <w:rsid w:val="00CF1ABB"/>
    <w:rsid w:val="00CF1E8E"/>
    <w:rsid w:val="00CF2366"/>
    <w:rsid w:val="00CF2692"/>
    <w:rsid w:val="00CF26C8"/>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08"/>
    <w:rsid w:val="00CF7E40"/>
    <w:rsid w:val="00D00642"/>
    <w:rsid w:val="00D00929"/>
    <w:rsid w:val="00D00CEA"/>
    <w:rsid w:val="00D00DA1"/>
    <w:rsid w:val="00D00F96"/>
    <w:rsid w:val="00D015D2"/>
    <w:rsid w:val="00D01701"/>
    <w:rsid w:val="00D01AC3"/>
    <w:rsid w:val="00D01BF0"/>
    <w:rsid w:val="00D01D07"/>
    <w:rsid w:val="00D025A6"/>
    <w:rsid w:val="00D028D9"/>
    <w:rsid w:val="00D02A1D"/>
    <w:rsid w:val="00D02B29"/>
    <w:rsid w:val="00D03515"/>
    <w:rsid w:val="00D0351B"/>
    <w:rsid w:val="00D039FD"/>
    <w:rsid w:val="00D03BB5"/>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4820"/>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8EF"/>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5D7E"/>
    <w:rsid w:val="00D260E2"/>
    <w:rsid w:val="00D2617D"/>
    <w:rsid w:val="00D2637F"/>
    <w:rsid w:val="00D2679C"/>
    <w:rsid w:val="00D26E26"/>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483"/>
    <w:rsid w:val="00D350CC"/>
    <w:rsid w:val="00D35355"/>
    <w:rsid w:val="00D35448"/>
    <w:rsid w:val="00D35731"/>
    <w:rsid w:val="00D35FD9"/>
    <w:rsid w:val="00D360B4"/>
    <w:rsid w:val="00D3615F"/>
    <w:rsid w:val="00D366ED"/>
    <w:rsid w:val="00D36C6B"/>
    <w:rsid w:val="00D36F84"/>
    <w:rsid w:val="00D3715E"/>
    <w:rsid w:val="00D400E0"/>
    <w:rsid w:val="00D40107"/>
    <w:rsid w:val="00D4015E"/>
    <w:rsid w:val="00D4058E"/>
    <w:rsid w:val="00D40737"/>
    <w:rsid w:val="00D410CF"/>
    <w:rsid w:val="00D41751"/>
    <w:rsid w:val="00D417F4"/>
    <w:rsid w:val="00D417FF"/>
    <w:rsid w:val="00D41B35"/>
    <w:rsid w:val="00D41CD8"/>
    <w:rsid w:val="00D41D80"/>
    <w:rsid w:val="00D41E6D"/>
    <w:rsid w:val="00D41E8C"/>
    <w:rsid w:val="00D41F75"/>
    <w:rsid w:val="00D42064"/>
    <w:rsid w:val="00D42262"/>
    <w:rsid w:val="00D425A9"/>
    <w:rsid w:val="00D42DE6"/>
    <w:rsid w:val="00D43292"/>
    <w:rsid w:val="00D43357"/>
    <w:rsid w:val="00D4394A"/>
    <w:rsid w:val="00D43A83"/>
    <w:rsid w:val="00D441E5"/>
    <w:rsid w:val="00D442EC"/>
    <w:rsid w:val="00D444AD"/>
    <w:rsid w:val="00D4457A"/>
    <w:rsid w:val="00D4469F"/>
    <w:rsid w:val="00D44C85"/>
    <w:rsid w:val="00D44D60"/>
    <w:rsid w:val="00D4528E"/>
    <w:rsid w:val="00D459DE"/>
    <w:rsid w:val="00D45C6D"/>
    <w:rsid w:val="00D45DD1"/>
    <w:rsid w:val="00D462D5"/>
    <w:rsid w:val="00D4647E"/>
    <w:rsid w:val="00D464B4"/>
    <w:rsid w:val="00D466C6"/>
    <w:rsid w:val="00D46B67"/>
    <w:rsid w:val="00D46BB1"/>
    <w:rsid w:val="00D46E97"/>
    <w:rsid w:val="00D46F55"/>
    <w:rsid w:val="00D47243"/>
    <w:rsid w:val="00D47437"/>
    <w:rsid w:val="00D47A31"/>
    <w:rsid w:val="00D5046C"/>
    <w:rsid w:val="00D50845"/>
    <w:rsid w:val="00D50EA9"/>
    <w:rsid w:val="00D511A3"/>
    <w:rsid w:val="00D51685"/>
    <w:rsid w:val="00D51814"/>
    <w:rsid w:val="00D5199E"/>
    <w:rsid w:val="00D519C4"/>
    <w:rsid w:val="00D5284B"/>
    <w:rsid w:val="00D52AB8"/>
    <w:rsid w:val="00D52B23"/>
    <w:rsid w:val="00D52DEB"/>
    <w:rsid w:val="00D53096"/>
    <w:rsid w:val="00D536DC"/>
    <w:rsid w:val="00D53871"/>
    <w:rsid w:val="00D5438F"/>
    <w:rsid w:val="00D545E0"/>
    <w:rsid w:val="00D54833"/>
    <w:rsid w:val="00D55476"/>
    <w:rsid w:val="00D55AF3"/>
    <w:rsid w:val="00D55CB4"/>
    <w:rsid w:val="00D56154"/>
    <w:rsid w:val="00D56BFA"/>
    <w:rsid w:val="00D5724D"/>
    <w:rsid w:val="00D57547"/>
    <w:rsid w:val="00D57A15"/>
    <w:rsid w:val="00D6052A"/>
    <w:rsid w:val="00D6056B"/>
    <w:rsid w:val="00D60AD2"/>
    <w:rsid w:val="00D60ADD"/>
    <w:rsid w:val="00D60D69"/>
    <w:rsid w:val="00D61332"/>
    <w:rsid w:val="00D6162B"/>
    <w:rsid w:val="00D61749"/>
    <w:rsid w:val="00D61B65"/>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996"/>
    <w:rsid w:val="00D65E41"/>
    <w:rsid w:val="00D6600D"/>
    <w:rsid w:val="00D66189"/>
    <w:rsid w:val="00D669FF"/>
    <w:rsid w:val="00D66EA4"/>
    <w:rsid w:val="00D6716C"/>
    <w:rsid w:val="00D6738A"/>
    <w:rsid w:val="00D6767D"/>
    <w:rsid w:val="00D67E62"/>
    <w:rsid w:val="00D70390"/>
    <w:rsid w:val="00D70498"/>
    <w:rsid w:val="00D705B3"/>
    <w:rsid w:val="00D711EA"/>
    <w:rsid w:val="00D7165F"/>
    <w:rsid w:val="00D7181F"/>
    <w:rsid w:val="00D71976"/>
    <w:rsid w:val="00D71D0E"/>
    <w:rsid w:val="00D7201E"/>
    <w:rsid w:val="00D728B5"/>
    <w:rsid w:val="00D72C0D"/>
    <w:rsid w:val="00D72FC2"/>
    <w:rsid w:val="00D73638"/>
    <w:rsid w:val="00D73885"/>
    <w:rsid w:val="00D74793"/>
    <w:rsid w:val="00D748F8"/>
    <w:rsid w:val="00D74D3C"/>
    <w:rsid w:val="00D74EC0"/>
    <w:rsid w:val="00D75074"/>
    <w:rsid w:val="00D75757"/>
    <w:rsid w:val="00D758FB"/>
    <w:rsid w:val="00D75D2B"/>
    <w:rsid w:val="00D765C0"/>
    <w:rsid w:val="00D7668E"/>
    <w:rsid w:val="00D766EF"/>
    <w:rsid w:val="00D76A45"/>
    <w:rsid w:val="00D76EEA"/>
    <w:rsid w:val="00D77263"/>
    <w:rsid w:val="00D77AEC"/>
    <w:rsid w:val="00D77C77"/>
    <w:rsid w:val="00D77CC8"/>
    <w:rsid w:val="00D77FA6"/>
    <w:rsid w:val="00D8002D"/>
    <w:rsid w:val="00D8051F"/>
    <w:rsid w:val="00D807D2"/>
    <w:rsid w:val="00D80802"/>
    <w:rsid w:val="00D80E13"/>
    <w:rsid w:val="00D8103A"/>
    <w:rsid w:val="00D81470"/>
    <w:rsid w:val="00D815CC"/>
    <w:rsid w:val="00D817F4"/>
    <w:rsid w:val="00D8194C"/>
    <w:rsid w:val="00D81AE6"/>
    <w:rsid w:val="00D81C6E"/>
    <w:rsid w:val="00D81E4F"/>
    <w:rsid w:val="00D81E99"/>
    <w:rsid w:val="00D8313E"/>
    <w:rsid w:val="00D83187"/>
    <w:rsid w:val="00D834A0"/>
    <w:rsid w:val="00D836B5"/>
    <w:rsid w:val="00D83A6E"/>
    <w:rsid w:val="00D841C4"/>
    <w:rsid w:val="00D843F9"/>
    <w:rsid w:val="00D84404"/>
    <w:rsid w:val="00D84491"/>
    <w:rsid w:val="00D84511"/>
    <w:rsid w:val="00D845E8"/>
    <w:rsid w:val="00D85277"/>
    <w:rsid w:val="00D855E0"/>
    <w:rsid w:val="00D85848"/>
    <w:rsid w:val="00D8589C"/>
    <w:rsid w:val="00D85A7A"/>
    <w:rsid w:val="00D862C1"/>
    <w:rsid w:val="00D86998"/>
    <w:rsid w:val="00D87160"/>
    <w:rsid w:val="00D87458"/>
    <w:rsid w:val="00D875CF"/>
    <w:rsid w:val="00D87601"/>
    <w:rsid w:val="00D878EE"/>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AD1"/>
    <w:rsid w:val="00DA1B82"/>
    <w:rsid w:val="00DA1D15"/>
    <w:rsid w:val="00DA1EC4"/>
    <w:rsid w:val="00DA2055"/>
    <w:rsid w:val="00DA217A"/>
    <w:rsid w:val="00DA27E4"/>
    <w:rsid w:val="00DA32E5"/>
    <w:rsid w:val="00DA34DB"/>
    <w:rsid w:val="00DA37DE"/>
    <w:rsid w:val="00DA3861"/>
    <w:rsid w:val="00DA3868"/>
    <w:rsid w:val="00DA3C94"/>
    <w:rsid w:val="00DA4453"/>
    <w:rsid w:val="00DA4726"/>
    <w:rsid w:val="00DA4B37"/>
    <w:rsid w:val="00DA4E79"/>
    <w:rsid w:val="00DA5156"/>
    <w:rsid w:val="00DA5289"/>
    <w:rsid w:val="00DA5612"/>
    <w:rsid w:val="00DA5900"/>
    <w:rsid w:val="00DA5A34"/>
    <w:rsid w:val="00DA5A89"/>
    <w:rsid w:val="00DA5B92"/>
    <w:rsid w:val="00DA5C5B"/>
    <w:rsid w:val="00DA5D00"/>
    <w:rsid w:val="00DA5D7C"/>
    <w:rsid w:val="00DA623A"/>
    <w:rsid w:val="00DA63BD"/>
    <w:rsid w:val="00DA66CE"/>
    <w:rsid w:val="00DA6A5C"/>
    <w:rsid w:val="00DA6CB3"/>
    <w:rsid w:val="00DA6F9D"/>
    <w:rsid w:val="00DA6FC1"/>
    <w:rsid w:val="00DA7719"/>
    <w:rsid w:val="00DA7854"/>
    <w:rsid w:val="00DA7AFC"/>
    <w:rsid w:val="00DA7B90"/>
    <w:rsid w:val="00DA7F8C"/>
    <w:rsid w:val="00DB0168"/>
    <w:rsid w:val="00DB062F"/>
    <w:rsid w:val="00DB07BB"/>
    <w:rsid w:val="00DB0B88"/>
    <w:rsid w:val="00DB0FBA"/>
    <w:rsid w:val="00DB1188"/>
    <w:rsid w:val="00DB1257"/>
    <w:rsid w:val="00DB1294"/>
    <w:rsid w:val="00DB1C85"/>
    <w:rsid w:val="00DB2517"/>
    <w:rsid w:val="00DB26A2"/>
    <w:rsid w:val="00DB285B"/>
    <w:rsid w:val="00DB2999"/>
    <w:rsid w:val="00DB30B7"/>
    <w:rsid w:val="00DB35B3"/>
    <w:rsid w:val="00DB3686"/>
    <w:rsid w:val="00DB36BD"/>
    <w:rsid w:val="00DB3770"/>
    <w:rsid w:val="00DB38B0"/>
    <w:rsid w:val="00DB39D1"/>
    <w:rsid w:val="00DB3FE4"/>
    <w:rsid w:val="00DB4541"/>
    <w:rsid w:val="00DB4872"/>
    <w:rsid w:val="00DB499B"/>
    <w:rsid w:val="00DB4ACE"/>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B79C1"/>
    <w:rsid w:val="00DC0523"/>
    <w:rsid w:val="00DC0A68"/>
    <w:rsid w:val="00DC0AB5"/>
    <w:rsid w:val="00DC0B39"/>
    <w:rsid w:val="00DC10EF"/>
    <w:rsid w:val="00DC110A"/>
    <w:rsid w:val="00DC122D"/>
    <w:rsid w:val="00DC126B"/>
    <w:rsid w:val="00DC12EB"/>
    <w:rsid w:val="00DC1C12"/>
    <w:rsid w:val="00DC1C3C"/>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4F3D"/>
    <w:rsid w:val="00DC5857"/>
    <w:rsid w:val="00DC592B"/>
    <w:rsid w:val="00DC6017"/>
    <w:rsid w:val="00DC674F"/>
    <w:rsid w:val="00DC67FE"/>
    <w:rsid w:val="00DC693D"/>
    <w:rsid w:val="00DC6EB7"/>
    <w:rsid w:val="00DC70EC"/>
    <w:rsid w:val="00DC7754"/>
    <w:rsid w:val="00DC78ED"/>
    <w:rsid w:val="00DC7C3A"/>
    <w:rsid w:val="00DC7D95"/>
    <w:rsid w:val="00DD020C"/>
    <w:rsid w:val="00DD0542"/>
    <w:rsid w:val="00DD09D1"/>
    <w:rsid w:val="00DD0A9F"/>
    <w:rsid w:val="00DD0C31"/>
    <w:rsid w:val="00DD0EED"/>
    <w:rsid w:val="00DD17E2"/>
    <w:rsid w:val="00DD1C7B"/>
    <w:rsid w:val="00DD1FCD"/>
    <w:rsid w:val="00DD27C4"/>
    <w:rsid w:val="00DD286F"/>
    <w:rsid w:val="00DD28E6"/>
    <w:rsid w:val="00DD2990"/>
    <w:rsid w:val="00DD2E0D"/>
    <w:rsid w:val="00DD2EDF"/>
    <w:rsid w:val="00DD3312"/>
    <w:rsid w:val="00DD3411"/>
    <w:rsid w:val="00DD34DB"/>
    <w:rsid w:val="00DD34E1"/>
    <w:rsid w:val="00DD3696"/>
    <w:rsid w:val="00DD3699"/>
    <w:rsid w:val="00DD3AE0"/>
    <w:rsid w:val="00DD3E70"/>
    <w:rsid w:val="00DD40E6"/>
    <w:rsid w:val="00DD492B"/>
    <w:rsid w:val="00DD4952"/>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0C98"/>
    <w:rsid w:val="00DE10DE"/>
    <w:rsid w:val="00DE1311"/>
    <w:rsid w:val="00DE180E"/>
    <w:rsid w:val="00DE19AB"/>
    <w:rsid w:val="00DE2373"/>
    <w:rsid w:val="00DE2805"/>
    <w:rsid w:val="00DE2B5F"/>
    <w:rsid w:val="00DE2E6E"/>
    <w:rsid w:val="00DE30F4"/>
    <w:rsid w:val="00DE39C3"/>
    <w:rsid w:val="00DE3B94"/>
    <w:rsid w:val="00DE42BB"/>
    <w:rsid w:val="00DE4390"/>
    <w:rsid w:val="00DE491A"/>
    <w:rsid w:val="00DE4A70"/>
    <w:rsid w:val="00DE4F76"/>
    <w:rsid w:val="00DE518B"/>
    <w:rsid w:val="00DE52B7"/>
    <w:rsid w:val="00DE5603"/>
    <w:rsid w:val="00DE6046"/>
    <w:rsid w:val="00DE6AF2"/>
    <w:rsid w:val="00DE6DB7"/>
    <w:rsid w:val="00DE7AD3"/>
    <w:rsid w:val="00DE7C05"/>
    <w:rsid w:val="00DF04CB"/>
    <w:rsid w:val="00DF0B84"/>
    <w:rsid w:val="00DF0C06"/>
    <w:rsid w:val="00DF16BF"/>
    <w:rsid w:val="00DF176B"/>
    <w:rsid w:val="00DF21D1"/>
    <w:rsid w:val="00DF23CB"/>
    <w:rsid w:val="00DF23D5"/>
    <w:rsid w:val="00DF366A"/>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C36"/>
    <w:rsid w:val="00E02277"/>
    <w:rsid w:val="00E022D7"/>
    <w:rsid w:val="00E027EC"/>
    <w:rsid w:val="00E02AB6"/>
    <w:rsid w:val="00E02D5A"/>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E5A"/>
    <w:rsid w:val="00E063AE"/>
    <w:rsid w:val="00E065A9"/>
    <w:rsid w:val="00E06796"/>
    <w:rsid w:val="00E071AA"/>
    <w:rsid w:val="00E07227"/>
    <w:rsid w:val="00E072CB"/>
    <w:rsid w:val="00E0763B"/>
    <w:rsid w:val="00E07A4F"/>
    <w:rsid w:val="00E07C42"/>
    <w:rsid w:val="00E07DE0"/>
    <w:rsid w:val="00E07E52"/>
    <w:rsid w:val="00E07EA6"/>
    <w:rsid w:val="00E10285"/>
    <w:rsid w:val="00E10947"/>
    <w:rsid w:val="00E10C6F"/>
    <w:rsid w:val="00E10C79"/>
    <w:rsid w:val="00E11121"/>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4F9E"/>
    <w:rsid w:val="00E15224"/>
    <w:rsid w:val="00E1527F"/>
    <w:rsid w:val="00E15622"/>
    <w:rsid w:val="00E156E0"/>
    <w:rsid w:val="00E15A4E"/>
    <w:rsid w:val="00E15B56"/>
    <w:rsid w:val="00E16186"/>
    <w:rsid w:val="00E1668F"/>
    <w:rsid w:val="00E16723"/>
    <w:rsid w:val="00E16804"/>
    <w:rsid w:val="00E16B3C"/>
    <w:rsid w:val="00E16F2B"/>
    <w:rsid w:val="00E16FD5"/>
    <w:rsid w:val="00E1713D"/>
    <w:rsid w:val="00E172EA"/>
    <w:rsid w:val="00E173E0"/>
    <w:rsid w:val="00E175DA"/>
    <w:rsid w:val="00E17837"/>
    <w:rsid w:val="00E17AA4"/>
    <w:rsid w:val="00E17E6F"/>
    <w:rsid w:val="00E203AA"/>
    <w:rsid w:val="00E205EB"/>
    <w:rsid w:val="00E20C26"/>
    <w:rsid w:val="00E211AC"/>
    <w:rsid w:val="00E2120A"/>
    <w:rsid w:val="00E21239"/>
    <w:rsid w:val="00E213A7"/>
    <w:rsid w:val="00E213D8"/>
    <w:rsid w:val="00E2165B"/>
    <w:rsid w:val="00E21728"/>
    <w:rsid w:val="00E218C0"/>
    <w:rsid w:val="00E2200C"/>
    <w:rsid w:val="00E2267F"/>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C11"/>
    <w:rsid w:val="00E3692D"/>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6E9"/>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718B"/>
    <w:rsid w:val="00E471C3"/>
    <w:rsid w:val="00E47C8B"/>
    <w:rsid w:val="00E5019D"/>
    <w:rsid w:val="00E508C3"/>
    <w:rsid w:val="00E5094A"/>
    <w:rsid w:val="00E50FAA"/>
    <w:rsid w:val="00E51194"/>
    <w:rsid w:val="00E512BA"/>
    <w:rsid w:val="00E515D2"/>
    <w:rsid w:val="00E51781"/>
    <w:rsid w:val="00E51B41"/>
    <w:rsid w:val="00E51F39"/>
    <w:rsid w:val="00E5248C"/>
    <w:rsid w:val="00E527CD"/>
    <w:rsid w:val="00E528B3"/>
    <w:rsid w:val="00E52A73"/>
    <w:rsid w:val="00E52A81"/>
    <w:rsid w:val="00E52BD3"/>
    <w:rsid w:val="00E52EF2"/>
    <w:rsid w:val="00E52F30"/>
    <w:rsid w:val="00E535C3"/>
    <w:rsid w:val="00E53878"/>
    <w:rsid w:val="00E53AE0"/>
    <w:rsid w:val="00E53B02"/>
    <w:rsid w:val="00E53D10"/>
    <w:rsid w:val="00E53E23"/>
    <w:rsid w:val="00E53F04"/>
    <w:rsid w:val="00E5412C"/>
    <w:rsid w:val="00E541A5"/>
    <w:rsid w:val="00E5435F"/>
    <w:rsid w:val="00E5448D"/>
    <w:rsid w:val="00E54855"/>
    <w:rsid w:val="00E54858"/>
    <w:rsid w:val="00E54BBB"/>
    <w:rsid w:val="00E54E07"/>
    <w:rsid w:val="00E54E54"/>
    <w:rsid w:val="00E54E55"/>
    <w:rsid w:val="00E5506B"/>
    <w:rsid w:val="00E5511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11C"/>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802"/>
    <w:rsid w:val="00E63C39"/>
    <w:rsid w:val="00E64061"/>
    <w:rsid w:val="00E6437B"/>
    <w:rsid w:val="00E645C5"/>
    <w:rsid w:val="00E648B3"/>
    <w:rsid w:val="00E64995"/>
    <w:rsid w:val="00E64E8E"/>
    <w:rsid w:val="00E64EC7"/>
    <w:rsid w:val="00E64F79"/>
    <w:rsid w:val="00E664A1"/>
    <w:rsid w:val="00E66993"/>
    <w:rsid w:val="00E66B51"/>
    <w:rsid w:val="00E66D9C"/>
    <w:rsid w:val="00E66E86"/>
    <w:rsid w:val="00E674C4"/>
    <w:rsid w:val="00E6779F"/>
    <w:rsid w:val="00E67DDA"/>
    <w:rsid w:val="00E70192"/>
    <w:rsid w:val="00E705F2"/>
    <w:rsid w:val="00E7062F"/>
    <w:rsid w:val="00E710EE"/>
    <w:rsid w:val="00E713A9"/>
    <w:rsid w:val="00E71462"/>
    <w:rsid w:val="00E715BF"/>
    <w:rsid w:val="00E7166E"/>
    <w:rsid w:val="00E71B2D"/>
    <w:rsid w:val="00E71E2B"/>
    <w:rsid w:val="00E720DE"/>
    <w:rsid w:val="00E721BB"/>
    <w:rsid w:val="00E72474"/>
    <w:rsid w:val="00E724D8"/>
    <w:rsid w:val="00E72578"/>
    <w:rsid w:val="00E72832"/>
    <w:rsid w:val="00E72FE9"/>
    <w:rsid w:val="00E73283"/>
    <w:rsid w:val="00E73C64"/>
    <w:rsid w:val="00E73DF0"/>
    <w:rsid w:val="00E73E0A"/>
    <w:rsid w:val="00E74323"/>
    <w:rsid w:val="00E74735"/>
    <w:rsid w:val="00E74736"/>
    <w:rsid w:val="00E74771"/>
    <w:rsid w:val="00E751F8"/>
    <w:rsid w:val="00E75974"/>
    <w:rsid w:val="00E75DE9"/>
    <w:rsid w:val="00E761BB"/>
    <w:rsid w:val="00E761D1"/>
    <w:rsid w:val="00E7629D"/>
    <w:rsid w:val="00E76856"/>
    <w:rsid w:val="00E771EF"/>
    <w:rsid w:val="00E803B7"/>
    <w:rsid w:val="00E808F4"/>
    <w:rsid w:val="00E80DE3"/>
    <w:rsid w:val="00E8167D"/>
    <w:rsid w:val="00E8178B"/>
    <w:rsid w:val="00E81A09"/>
    <w:rsid w:val="00E82B8B"/>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60EB"/>
    <w:rsid w:val="00E86621"/>
    <w:rsid w:val="00E8696A"/>
    <w:rsid w:val="00E8699D"/>
    <w:rsid w:val="00E86A21"/>
    <w:rsid w:val="00E86AEE"/>
    <w:rsid w:val="00E86BA9"/>
    <w:rsid w:val="00E87240"/>
    <w:rsid w:val="00E874FD"/>
    <w:rsid w:val="00E87521"/>
    <w:rsid w:val="00E8759A"/>
    <w:rsid w:val="00E87DA0"/>
    <w:rsid w:val="00E90105"/>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62D"/>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368"/>
    <w:rsid w:val="00E96474"/>
    <w:rsid w:val="00E965D8"/>
    <w:rsid w:val="00E96FF7"/>
    <w:rsid w:val="00E97823"/>
    <w:rsid w:val="00EA0673"/>
    <w:rsid w:val="00EA0737"/>
    <w:rsid w:val="00EA0C02"/>
    <w:rsid w:val="00EA0E47"/>
    <w:rsid w:val="00EA1124"/>
    <w:rsid w:val="00EA12DD"/>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5EE2"/>
    <w:rsid w:val="00EA61C4"/>
    <w:rsid w:val="00EA61D3"/>
    <w:rsid w:val="00EA6AA9"/>
    <w:rsid w:val="00EA6B2D"/>
    <w:rsid w:val="00EA7047"/>
    <w:rsid w:val="00EA7486"/>
    <w:rsid w:val="00EA75FE"/>
    <w:rsid w:val="00EA797A"/>
    <w:rsid w:val="00EA79BE"/>
    <w:rsid w:val="00EA7A4B"/>
    <w:rsid w:val="00EA7C63"/>
    <w:rsid w:val="00EA7C98"/>
    <w:rsid w:val="00EA7E05"/>
    <w:rsid w:val="00EB049E"/>
    <w:rsid w:val="00EB04A5"/>
    <w:rsid w:val="00EB08CB"/>
    <w:rsid w:val="00EB1221"/>
    <w:rsid w:val="00EB1294"/>
    <w:rsid w:val="00EB1302"/>
    <w:rsid w:val="00EB13C3"/>
    <w:rsid w:val="00EB1721"/>
    <w:rsid w:val="00EB2042"/>
    <w:rsid w:val="00EB224A"/>
    <w:rsid w:val="00EB24CB"/>
    <w:rsid w:val="00EB253E"/>
    <w:rsid w:val="00EB26F7"/>
    <w:rsid w:val="00EB27CE"/>
    <w:rsid w:val="00EB2DF9"/>
    <w:rsid w:val="00EB2FB4"/>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7C3"/>
    <w:rsid w:val="00EB78F1"/>
    <w:rsid w:val="00EB7F4E"/>
    <w:rsid w:val="00EB7FD5"/>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171"/>
    <w:rsid w:val="00EC2829"/>
    <w:rsid w:val="00EC284B"/>
    <w:rsid w:val="00EC2C6A"/>
    <w:rsid w:val="00EC2D1B"/>
    <w:rsid w:val="00EC32CD"/>
    <w:rsid w:val="00EC32F0"/>
    <w:rsid w:val="00EC38AD"/>
    <w:rsid w:val="00EC38BE"/>
    <w:rsid w:val="00EC39B3"/>
    <w:rsid w:val="00EC3CA2"/>
    <w:rsid w:val="00EC3F36"/>
    <w:rsid w:val="00EC403E"/>
    <w:rsid w:val="00EC404E"/>
    <w:rsid w:val="00EC481E"/>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95"/>
    <w:rsid w:val="00EC71CA"/>
    <w:rsid w:val="00EC728E"/>
    <w:rsid w:val="00EC732B"/>
    <w:rsid w:val="00EC7422"/>
    <w:rsid w:val="00EC7536"/>
    <w:rsid w:val="00EC75A6"/>
    <w:rsid w:val="00EC78C1"/>
    <w:rsid w:val="00EC7B8F"/>
    <w:rsid w:val="00EC7C91"/>
    <w:rsid w:val="00ED0B34"/>
    <w:rsid w:val="00ED0B6D"/>
    <w:rsid w:val="00ED1100"/>
    <w:rsid w:val="00ED1478"/>
    <w:rsid w:val="00ED161E"/>
    <w:rsid w:val="00ED17D0"/>
    <w:rsid w:val="00ED1A95"/>
    <w:rsid w:val="00ED1B1A"/>
    <w:rsid w:val="00ED1CF0"/>
    <w:rsid w:val="00ED2201"/>
    <w:rsid w:val="00ED2914"/>
    <w:rsid w:val="00ED2FFF"/>
    <w:rsid w:val="00ED3343"/>
    <w:rsid w:val="00ED34B6"/>
    <w:rsid w:val="00ED35C6"/>
    <w:rsid w:val="00ED35FA"/>
    <w:rsid w:val="00ED37C9"/>
    <w:rsid w:val="00ED38CA"/>
    <w:rsid w:val="00ED3D3A"/>
    <w:rsid w:val="00ED401D"/>
    <w:rsid w:val="00ED410F"/>
    <w:rsid w:val="00ED4325"/>
    <w:rsid w:val="00ED49D6"/>
    <w:rsid w:val="00ED4C61"/>
    <w:rsid w:val="00ED4FDB"/>
    <w:rsid w:val="00ED5052"/>
    <w:rsid w:val="00ED51B8"/>
    <w:rsid w:val="00ED53DA"/>
    <w:rsid w:val="00ED55B4"/>
    <w:rsid w:val="00ED55DA"/>
    <w:rsid w:val="00ED59BF"/>
    <w:rsid w:val="00ED5E2E"/>
    <w:rsid w:val="00ED5F0E"/>
    <w:rsid w:val="00ED6A01"/>
    <w:rsid w:val="00ED6A12"/>
    <w:rsid w:val="00ED6A75"/>
    <w:rsid w:val="00ED79E0"/>
    <w:rsid w:val="00ED7B2D"/>
    <w:rsid w:val="00ED7F3F"/>
    <w:rsid w:val="00EE0694"/>
    <w:rsid w:val="00EE0923"/>
    <w:rsid w:val="00EE0A02"/>
    <w:rsid w:val="00EE0EB1"/>
    <w:rsid w:val="00EE0F04"/>
    <w:rsid w:val="00EE0F37"/>
    <w:rsid w:val="00EE118A"/>
    <w:rsid w:val="00EE131D"/>
    <w:rsid w:val="00EE14B1"/>
    <w:rsid w:val="00EE1854"/>
    <w:rsid w:val="00EE187A"/>
    <w:rsid w:val="00EE1C3D"/>
    <w:rsid w:val="00EE233C"/>
    <w:rsid w:val="00EE23FB"/>
    <w:rsid w:val="00EE2406"/>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38A"/>
    <w:rsid w:val="00EF3A28"/>
    <w:rsid w:val="00EF3B0B"/>
    <w:rsid w:val="00EF3DE8"/>
    <w:rsid w:val="00EF3F50"/>
    <w:rsid w:val="00EF4172"/>
    <w:rsid w:val="00EF41F5"/>
    <w:rsid w:val="00EF423F"/>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F00092"/>
    <w:rsid w:val="00F000F2"/>
    <w:rsid w:val="00F0010B"/>
    <w:rsid w:val="00F001F2"/>
    <w:rsid w:val="00F00608"/>
    <w:rsid w:val="00F0081B"/>
    <w:rsid w:val="00F01080"/>
    <w:rsid w:val="00F0181B"/>
    <w:rsid w:val="00F01A3A"/>
    <w:rsid w:val="00F022E2"/>
    <w:rsid w:val="00F026F0"/>
    <w:rsid w:val="00F02949"/>
    <w:rsid w:val="00F02B10"/>
    <w:rsid w:val="00F02E17"/>
    <w:rsid w:val="00F02E61"/>
    <w:rsid w:val="00F0305D"/>
    <w:rsid w:val="00F0329B"/>
    <w:rsid w:val="00F034D8"/>
    <w:rsid w:val="00F03DC7"/>
    <w:rsid w:val="00F03FFC"/>
    <w:rsid w:val="00F046B8"/>
    <w:rsid w:val="00F04AA2"/>
    <w:rsid w:val="00F04ACF"/>
    <w:rsid w:val="00F051CA"/>
    <w:rsid w:val="00F056C6"/>
    <w:rsid w:val="00F0576A"/>
    <w:rsid w:val="00F05962"/>
    <w:rsid w:val="00F05A12"/>
    <w:rsid w:val="00F05AEE"/>
    <w:rsid w:val="00F05D9E"/>
    <w:rsid w:val="00F060E9"/>
    <w:rsid w:val="00F0612D"/>
    <w:rsid w:val="00F0617E"/>
    <w:rsid w:val="00F0622C"/>
    <w:rsid w:val="00F06336"/>
    <w:rsid w:val="00F06449"/>
    <w:rsid w:val="00F06768"/>
    <w:rsid w:val="00F06961"/>
    <w:rsid w:val="00F0755A"/>
    <w:rsid w:val="00F0762B"/>
    <w:rsid w:val="00F07897"/>
    <w:rsid w:val="00F078E5"/>
    <w:rsid w:val="00F07901"/>
    <w:rsid w:val="00F07D04"/>
    <w:rsid w:val="00F07F5F"/>
    <w:rsid w:val="00F10194"/>
    <w:rsid w:val="00F10979"/>
    <w:rsid w:val="00F1101D"/>
    <w:rsid w:val="00F11344"/>
    <w:rsid w:val="00F11474"/>
    <w:rsid w:val="00F12229"/>
    <w:rsid w:val="00F12243"/>
    <w:rsid w:val="00F1232D"/>
    <w:rsid w:val="00F125FE"/>
    <w:rsid w:val="00F12B7C"/>
    <w:rsid w:val="00F12E95"/>
    <w:rsid w:val="00F1326E"/>
    <w:rsid w:val="00F133DD"/>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454"/>
    <w:rsid w:val="00F16634"/>
    <w:rsid w:val="00F16CFA"/>
    <w:rsid w:val="00F1711E"/>
    <w:rsid w:val="00F17473"/>
    <w:rsid w:val="00F17ED8"/>
    <w:rsid w:val="00F17F51"/>
    <w:rsid w:val="00F20539"/>
    <w:rsid w:val="00F20552"/>
    <w:rsid w:val="00F20A51"/>
    <w:rsid w:val="00F20C52"/>
    <w:rsid w:val="00F21285"/>
    <w:rsid w:val="00F2129D"/>
    <w:rsid w:val="00F21601"/>
    <w:rsid w:val="00F22269"/>
    <w:rsid w:val="00F2236E"/>
    <w:rsid w:val="00F2241A"/>
    <w:rsid w:val="00F2343B"/>
    <w:rsid w:val="00F23584"/>
    <w:rsid w:val="00F2358F"/>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C4C"/>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2FF"/>
    <w:rsid w:val="00F32418"/>
    <w:rsid w:val="00F32A8A"/>
    <w:rsid w:val="00F32B5F"/>
    <w:rsid w:val="00F32CFD"/>
    <w:rsid w:val="00F32D3A"/>
    <w:rsid w:val="00F32D68"/>
    <w:rsid w:val="00F32D6A"/>
    <w:rsid w:val="00F32EDF"/>
    <w:rsid w:val="00F330F9"/>
    <w:rsid w:val="00F331DD"/>
    <w:rsid w:val="00F33480"/>
    <w:rsid w:val="00F336BB"/>
    <w:rsid w:val="00F33901"/>
    <w:rsid w:val="00F33A62"/>
    <w:rsid w:val="00F33C85"/>
    <w:rsid w:val="00F33CFE"/>
    <w:rsid w:val="00F33FDF"/>
    <w:rsid w:val="00F340E3"/>
    <w:rsid w:val="00F340F8"/>
    <w:rsid w:val="00F3430C"/>
    <w:rsid w:val="00F344E0"/>
    <w:rsid w:val="00F34843"/>
    <w:rsid w:val="00F34D70"/>
    <w:rsid w:val="00F34F1D"/>
    <w:rsid w:val="00F34F2C"/>
    <w:rsid w:val="00F356D1"/>
    <w:rsid w:val="00F35A3E"/>
    <w:rsid w:val="00F363DB"/>
    <w:rsid w:val="00F36553"/>
    <w:rsid w:val="00F369B2"/>
    <w:rsid w:val="00F36D9D"/>
    <w:rsid w:val="00F36F09"/>
    <w:rsid w:val="00F37D85"/>
    <w:rsid w:val="00F401C3"/>
    <w:rsid w:val="00F402E9"/>
    <w:rsid w:val="00F40A41"/>
    <w:rsid w:val="00F40AB2"/>
    <w:rsid w:val="00F40CEB"/>
    <w:rsid w:val="00F414AE"/>
    <w:rsid w:val="00F41641"/>
    <w:rsid w:val="00F4197F"/>
    <w:rsid w:val="00F41989"/>
    <w:rsid w:val="00F42064"/>
    <w:rsid w:val="00F42184"/>
    <w:rsid w:val="00F434A1"/>
    <w:rsid w:val="00F436F1"/>
    <w:rsid w:val="00F4379E"/>
    <w:rsid w:val="00F437F6"/>
    <w:rsid w:val="00F43970"/>
    <w:rsid w:val="00F44355"/>
    <w:rsid w:val="00F4514D"/>
    <w:rsid w:val="00F453E0"/>
    <w:rsid w:val="00F45635"/>
    <w:rsid w:val="00F461DC"/>
    <w:rsid w:val="00F46749"/>
    <w:rsid w:val="00F46A1E"/>
    <w:rsid w:val="00F47077"/>
    <w:rsid w:val="00F47D35"/>
    <w:rsid w:val="00F5065C"/>
    <w:rsid w:val="00F50894"/>
    <w:rsid w:val="00F511C3"/>
    <w:rsid w:val="00F51BF4"/>
    <w:rsid w:val="00F52831"/>
    <w:rsid w:val="00F52A25"/>
    <w:rsid w:val="00F52AF3"/>
    <w:rsid w:val="00F52C59"/>
    <w:rsid w:val="00F530E2"/>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6E80"/>
    <w:rsid w:val="00F57249"/>
    <w:rsid w:val="00F57937"/>
    <w:rsid w:val="00F5797A"/>
    <w:rsid w:val="00F600C3"/>
    <w:rsid w:val="00F600CA"/>
    <w:rsid w:val="00F602B5"/>
    <w:rsid w:val="00F60641"/>
    <w:rsid w:val="00F60A5B"/>
    <w:rsid w:val="00F60BF5"/>
    <w:rsid w:val="00F60C7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6F8"/>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BF8"/>
    <w:rsid w:val="00F73D22"/>
    <w:rsid w:val="00F74689"/>
    <w:rsid w:val="00F74796"/>
    <w:rsid w:val="00F74C13"/>
    <w:rsid w:val="00F74D91"/>
    <w:rsid w:val="00F7506D"/>
    <w:rsid w:val="00F75581"/>
    <w:rsid w:val="00F755CC"/>
    <w:rsid w:val="00F75A48"/>
    <w:rsid w:val="00F75B75"/>
    <w:rsid w:val="00F75EA2"/>
    <w:rsid w:val="00F75F01"/>
    <w:rsid w:val="00F764F5"/>
    <w:rsid w:val="00F77254"/>
    <w:rsid w:val="00F7729E"/>
    <w:rsid w:val="00F77373"/>
    <w:rsid w:val="00F774B5"/>
    <w:rsid w:val="00F774EF"/>
    <w:rsid w:val="00F77624"/>
    <w:rsid w:val="00F776F4"/>
    <w:rsid w:val="00F777A8"/>
    <w:rsid w:val="00F777EC"/>
    <w:rsid w:val="00F7795A"/>
    <w:rsid w:val="00F77972"/>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6DA"/>
    <w:rsid w:val="00F82AC3"/>
    <w:rsid w:val="00F82BF6"/>
    <w:rsid w:val="00F82E89"/>
    <w:rsid w:val="00F8307D"/>
    <w:rsid w:val="00F83381"/>
    <w:rsid w:val="00F8365C"/>
    <w:rsid w:val="00F83D52"/>
    <w:rsid w:val="00F84402"/>
    <w:rsid w:val="00F8493F"/>
    <w:rsid w:val="00F84B79"/>
    <w:rsid w:val="00F84D5A"/>
    <w:rsid w:val="00F84E14"/>
    <w:rsid w:val="00F851E1"/>
    <w:rsid w:val="00F85953"/>
    <w:rsid w:val="00F85FB5"/>
    <w:rsid w:val="00F8655B"/>
    <w:rsid w:val="00F86638"/>
    <w:rsid w:val="00F872FB"/>
    <w:rsid w:val="00F8784A"/>
    <w:rsid w:val="00F87F23"/>
    <w:rsid w:val="00F904F2"/>
    <w:rsid w:val="00F909A4"/>
    <w:rsid w:val="00F90E9C"/>
    <w:rsid w:val="00F911C3"/>
    <w:rsid w:val="00F91890"/>
    <w:rsid w:val="00F91BC2"/>
    <w:rsid w:val="00F91BCD"/>
    <w:rsid w:val="00F9352C"/>
    <w:rsid w:val="00F93656"/>
    <w:rsid w:val="00F93944"/>
    <w:rsid w:val="00F93B7E"/>
    <w:rsid w:val="00F944BD"/>
    <w:rsid w:val="00F94AF0"/>
    <w:rsid w:val="00F94D2A"/>
    <w:rsid w:val="00F94D61"/>
    <w:rsid w:val="00F94F4F"/>
    <w:rsid w:val="00F9512A"/>
    <w:rsid w:val="00F951CC"/>
    <w:rsid w:val="00F952EF"/>
    <w:rsid w:val="00F95435"/>
    <w:rsid w:val="00F955C3"/>
    <w:rsid w:val="00F9563A"/>
    <w:rsid w:val="00F960BB"/>
    <w:rsid w:val="00F96187"/>
    <w:rsid w:val="00F96252"/>
    <w:rsid w:val="00F9667D"/>
    <w:rsid w:val="00F967B0"/>
    <w:rsid w:val="00F96AC6"/>
    <w:rsid w:val="00F96B81"/>
    <w:rsid w:val="00F9747E"/>
    <w:rsid w:val="00F97BF9"/>
    <w:rsid w:val="00F97F7C"/>
    <w:rsid w:val="00FA03A6"/>
    <w:rsid w:val="00FA04A1"/>
    <w:rsid w:val="00FA06FC"/>
    <w:rsid w:val="00FA1289"/>
    <w:rsid w:val="00FA163D"/>
    <w:rsid w:val="00FA1708"/>
    <w:rsid w:val="00FA1864"/>
    <w:rsid w:val="00FA1D4F"/>
    <w:rsid w:val="00FA1EF6"/>
    <w:rsid w:val="00FA24A4"/>
    <w:rsid w:val="00FA2A3D"/>
    <w:rsid w:val="00FA2C34"/>
    <w:rsid w:val="00FA31FA"/>
    <w:rsid w:val="00FA3545"/>
    <w:rsid w:val="00FA35A5"/>
    <w:rsid w:val="00FA3D3B"/>
    <w:rsid w:val="00FA4010"/>
    <w:rsid w:val="00FA40E3"/>
    <w:rsid w:val="00FA4145"/>
    <w:rsid w:val="00FA41F9"/>
    <w:rsid w:val="00FA468B"/>
    <w:rsid w:val="00FA4F30"/>
    <w:rsid w:val="00FA51D6"/>
    <w:rsid w:val="00FA53B1"/>
    <w:rsid w:val="00FA54E9"/>
    <w:rsid w:val="00FA5520"/>
    <w:rsid w:val="00FA6678"/>
    <w:rsid w:val="00FA6B79"/>
    <w:rsid w:val="00FA72C0"/>
    <w:rsid w:val="00FA754E"/>
    <w:rsid w:val="00FA75A6"/>
    <w:rsid w:val="00FA773D"/>
    <w:rsid w:val="00FA7786"/>
    <w:rsid w:val="00FA790E"/>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724"/>
    <w:rsid w:val="00FB3962"/>
    <w:rsid w:val="00FB3C54"/>
    <w:rsid w:val="00FB443F"/>
    <w:rsid w:val="00FB4497"/>
    <w:rsid w:val="00FB450D"/>
    <w:rsid w:val="00FB4B16"/>
    <w:rsid w:val="00FB4E74"/>
    <w:rsid w:val="00FB4E76"/>
    <w:rsid w:val="00FB552C"/>
    <w:rsid w:val="00FB56CF"/>
    <w:rsid w:val="00FB5E63"/>
    <w:rsid w:val="00FB5EC9"/>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A0F"/>
    <w:rsid w:val="00FC4BBA"/>
    <w:rsid w:val="00FC4C9B"/>
    <w:rsid w:val="00FC5211"/>
    <w:rsid w:val="00FC570E"/>
    <w:rsid w:val="00FC5E5E"/>
    <w:rsid w:val="00FC5E7B"/>
    <w:rsid w:val="00FC621E"/>
    <w:rsid w:val="00FC667E"/>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4C5"/>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E72"/>
    <w:rsid w:val="00FE5F5E"/>
    <w:rsid w:val="00FE6506"/>
    <w:rsid w:val="00FE6EF1"/>
    <w:rsid w:val="00FE701A"/>
    <w:rsid w:val="00FE7234"/>
    <w:rsid w:val="00FE7972"/>
    <w:rsid w:val="00FE7BD3"/>
    <w:rsid w:val="00FF01DE"/>
    <w:rsid w:val="00FF042D"/>
    <w:rsid w:val="00FF0532"/>
    <w:rsid w:val="00FF05CC"/>
    <w:rsid w:val="00FF075C"/>
    <w:rsid w:val="00FF0AE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1314">
      <o:colormru v:ext="edit" colors="#c0f,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6FD"/>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97404B"/>
    <w:pPr>
      <w:keepNext/>
      <w:keepLines/>
      <w:numPr>
        <w:ilvl w:val="1"/>
        <w:numId w:val="2"/>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97404B"/>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semiHidden/>
    <w:unhideWhenUsed/>
    <w:qFormat/>
    <w:rsid w:val="0097404B"/>
    <w:pPr>
      <w:keepNext/>
      <w:keepLines/>
      <w:numPr>
        <w:ilvl w:val="3"/>
        <w:numId w:val="2"/>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semiHidden/>
    <w:unhideWhenUsed/>
    <w:rsid w:val="00246617"/>
    <w:rPr>
      <w:sz w:val="16"/>
      <w:szCs w:val="16"/>
    </w:rPr>
  </w:style>
  <w:style w:type="paragraph" w:styleId="CommentText">
    <w:name w:val="annotation text"/>
    <w:basedOn w:val="Normal"/>
    <w:link w:val="CommentTextChar"/>
    <w:uiPriority w:val="99"/>
    <w:semiHidden/>
    <w:unhideWhenUsed/>
    <w:rsid w:val="00246617"/>
    <w:rPr>
      <w:sz w:val="20"/>
      <w:szCs w:val="20"/>
    </w:rPr>
  </w:style>
  <w:style w:type="character" w:customStyle="1" w:styleId="CommentTextChar">
    <w:name w:val="Comment Text Char"/>
    <w:basedOn w:val="DefaultParagraphFont"/>
    <w:link w:val="CommentText"/>
    <w:uiPriority w:val="99"/>
    <w:semiHidden/>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semiHidden/>
    <w:unhideWhenUsed/>
    <w:rsid w:val="006C68B1"/>
    <w:pPr>
      <w:tabs>
        <w:tab w:val="center" w:pos="4153"/>
        <w:tab w:val="right" w:pos="8306"/>
      </w:tabs>
      <w:snapToGrid w:val="0"/>
      <w:spacing w:line="240" w:lineRule="auto"/>
    </w:pPr>
    <w:rPr>
      <w:sz w:val="18"/>
      <w:szCs w:val="18"/>
    </w:rPr>
  </w:style>
  <w:style w:type="character" w:customStyle="1" w:styleId="FooterChar">
    <w:name w:val="Footer Char"/>
    <w:link w:val="Footer"/>
    <w:uiPriority w:val="99"/>
    <w:semiHidden/>
    <w:rsid w:val="006C68B1"/>
    <w:rPr>
      <w:sz w:val="18"/>
      <w:szCs w:val="18"/>
    </w:rPr>
  </w:style>
  <w:style w:type="paragraph" w:styleId="ListParagraph">
    <w:name w:val="List Paragraph"/>
    <w:basedOn w:val="Normal"/>
    <w:link w:val="ListParagraphChar"/>
    <w:uiPriority w:val="34"/>
    <w:qFormat/>
    <w:rsid w:val="00314671"/>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Normal"/>
    <w:rsid w:val="008B14C8"/>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2Char">
    <w:name w:val="Heading 2 Char"/>
    <w:link w:val="Heading2"/>
    <w:uiPriority w:val="9"/>
    <w:rsid w:val="0097404B"/>
    <w:rPr>
      <w:rFonts w:ascii="Cambria" w:hAnsi="Cambria"/>
      <w:b/>
      <w:bCs/>
      <w:sz w:val="32"/>
      <w:szCs w:val="32"/>
    </w:rPr>
  </w:style>
  <w:style w:type="character" w:customStyle="1" w:styleId="Heading3Char">
    <w:name w:val="Heading 3 Char"/>
    <w:link w:val="Heading3"/>
    <w:uiPriority w:val="9"/>
    <w:rsid w:val="0097404B"/>
    <w:rPr>
      <w:b/>
      <w:bCs/>
      <w:sz w:val="32"/>
      <w:szCs w:val="32"/>
    </w:rPr>
  </w:style>
  <w:style w:type="character" w:customStyle="1" w:styleId="Heading4Char">
    <w:name w:val="Heading 4 Char"/>
    <w:link w:val="Heading4"/>
    <w:semiHidden/>
    <w:rsid w:val="0097404B"/>
    <w:rPr>
      <w:rFonts w:ascii="Cambria" w:hAnsi="Cambria"/>
      <w:b/>
      <w:bCs/>
      <w:sz w:val="28"/>
      <w:szCs w:val="28"/>
    </w:rPr>
  </w:style>
  <w:style w:type="paragraph" w:customStyle="1" w:styleId="Reference">
    <w:name w:val="Reference"/>
    <w:basedOn w:val="Normal"/>
    <w:uiPriority w:val="99"/>
    <w:rsid w:val="003F384D"/>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character" w:styleId="Hyperlink">
    <w:name w:val="Hyperlink"/>
    <w:uiPriority w:val="99"/>
    <w:rsid w:val="003F384D"/>
    <w:rPr>
      <w:color w:val="0000FF"/>
      <w:u w:val="single"/>
      <w:lang w:val="en-GB"/>
    </w:rPr>
  </w:style>
  <w:style w:type="paragraph" w:customStyle="1" w:styleId="TH">
    <w:name w:val="TH"/>
    <w:basedOn w:val="Normal"/>
    <w:link w:val="THChar"/>
    <w:rsid w:val="003F384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3F384D"/>
    <w:rPr>
      <w:rFonts w:ascii="Arial" w:eastAsia="Times New Roman" w:hAnsi="Arial"/>
      <w:b/>
      <w:lang w:val="en-GB"/>
    </w:rPr>
  </w:style>
  <w:style w:type="paragraph" w:customStyle="1" w:styleId="TAL">
    <w:name w:val="TAL"/>
    <w:basedOn w:val="Normal"/>
    <w:link w:val="TALChar"/>
    <w:rsid w:val="00EE40F9"/>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locked/>
    <w:rsid w:val="00EE40F9"/>
    <w:rPr>
      <w:rFonts w:ascii="Arial" w:hAnsi="Arial"/>
      <w:sz w:val="18"/>
      <w:lang w:eastAsia="en-US"/>
    </w:rPr>
  </w:style>
  <w:style w:type="paragraph" w:customStyle="1" w:styleId="TAH">
    <w:name w:val="TAH"/>
    <w:basedOn w:val="Normal"/>
    <w:link w:val="TAHChar"/>
    <w:rsid w:val="00EE40F9"/>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locked/>
    <w:rsid w:val="00EE40F9"/>
    <w:rPr>
      <w:rFonts w:ascii="Arial" w:hAnsi="Arial"/>
      <w:b/>
      <w:sz w:val="18"/>
      <w:lang w:eastAsia="en-US"/>
    </w:rPr>
  </w:style>
  <w:style w:type="paragraph" w:customStyle="1" w:styleId="TAC">
    <w:name w:val="TAC"/>
    <w:basedOn w:val="TAL"/>
    <w:link w:val="TACChar"/>
    <w:rsid w:val="00EE40F9"/>
    <w:pPr>
      <w:jc w:val="center"/>
    </w:pPr>
  </w:style>
  <w:style w:type="character" w:customStyle="1" w:styleId="TACChar">
    <w:name w:val="TAC Char"/>
    <w:link w:val="TAC"/>
    <w:rsid w:val="00EE40F9"/>
    <w:rPr>
      <w:rFonts w:ascii="Arial" w:hAnsi="Arial"/>
      <w:sz w:val="18"/>
      <w:lang w:eastAsia="en-US"/>
    </w:rPr>
  </w:style>
  <w:style w:type="character" w:customStyle="1" w:styleId="TAHCar">
    <w:name w:val="TAH Car"/>
    <w:rsid w:val="00932D62"/>
    <w:rPr>
      <w:rFonts w:ascii="Arial" w:hAnsi="Arial"/>
      <w:b/>
      <w:sz w:val="18"/>
      <w:lang w:val="en-GB" w:eastAsia="ko-KR" w:bidi="ar-SA"/>
    </w:rPr>
  </w:style>
  <w:style w:type="paragraph" w:customStyle="1" w:styleId="PL">
    <w:name w:val="PL"/>
    <w:link w:val="PLChar"/>
    <w:rsid w:val="00932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932D62"/>
    <w:rPr>
      <w:rFonts w:ascii="Courier New" w:hAnsi="Courier New" w:cs="Courier New"/>
      <w:noProof/>
      <w:sz w:val="16"/>
      <w:szCs w:val="16"/>
      <w:lang w:val="en-GB" w:eastAsia="ja-JP" w:bidi="ar-SA"/>
    </w:rPr>
  </w:style>
  <w:style w:type="paragraph" w:styleId="ListNumber">
    <w:name w:val="List Number"/>
    <w:basedOn w:val="Normal"/>
    <w:uiPriority w:val="99"/>
    <w:semiHidden/>
    <w:unhideWhenUsed/>
    <w:rsid w:val="00055933"/>
    <w:pPr>
      <w:numPr>
        <w:numId w:val="4"/>
      </w:numPr>
      <w:contextualSpacing/>
    </w:pPr>
  </w:style>
  <w:style w:type="character" w:customStyle="1" w:styleId="ListParagraphChar">
    <w:name w:val="List Paragraph Char"/>
    <w:link w:val="ListParagraph"/>
    <w:uiPriority w:val="34"/>
    <w:locked/>
    <w:rsid w:val="00C374CC"/>
    <w:rPr>
      <w:rFonts w:ascii="Times New Roman" w:hAnsi="Times New Roman"/>
      <w:kern w:val="2"/>
      <w:sz w:val="21"/>
      <w:szCs w:val="24"/>
    </w:rPr>
  </w:style>
  <w:style w:type="paragraph" w:styleId="Revision">
    <w:name w:val="Revision"/>
    <w:hidden/>
    <w:uiPriority w:val="99"/>
    <w:semiHidden/>
    <w:rsid w:val="007611F7"/>
    <w:rPr>
      <w:sz w:val="22"/>
      <w:szCs w:val="22"/>
    </w:rPr>
  </w:style>
  <w:style w:type="paragraph" w:customStyle="1" w:styleId="EditorsNote">
    <w:name w:val="Editor's Note"/>
    <w:basedOn w:val="Normal"/>
    <w:rsid w:val="00F0633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paragraph" w:styleId="NormalWeb">
    <w:name w:val="Normal (Web)"/>
    <w:basedOn w:val="Normal"/>
    <w:uiPriority w:val="99"/>
    <w:unhideWhenUsed/>
    <w:rsid w:val="00375BB4"/>
    <w:pPr>
      <w:spacing w:before="100" w:beforeAutospacing="1" w:after="100" w:afterAutospacing="1" w:line="240" w:lineRule="auto"/>
    </w:pPr>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28453962">
      <w:bodyDiv w:val="1"/>
      <w:marLeft w:val="0"/>
      <w:marRight w:val="0"/>
      <w:marTop w:val="0"/>
      <w:marBottom w:val="0"/>
      <w:divBdr>
        <w:top w:val="none" w:sz="0" w:space="0" w:color="auto"/>
        <w:left w:val="none" w:sz="0" w:space="0" w:color="auto"/>
        <w:bottom w:val="none" w:sz="0" w:space="0" w:color="auto"/>
        <w:right w:val="none" w:sz="0" w:space="0" w:color="auto"/>
      </w:divBdr>
      <w:divsChild>
        <w:div w:id="1590384049">
          <w:marLeft w:val="0"/>
          <w:marRight w:val="0"/>
          <w:marTop w:val="0"/>
          <w:marBottom w:val="0"/>
          <w:divBdr>
            <w:top w:val="none" w:sz="0" w:space="0" w:color="auto"/>
            <w:left w:val="none" w:sz="0" w:space="0" w:color="auto"/>
            <w:bottom w:val="none" w:sz="0" w:space="0" w:color="auto"/>
            <w:right w:val="none" w:sz="0" w:space="0" w:color="auto"/>
          </w:divBdr>
          <w:divsChild>
            <w:div w:id="1033267200">
              <w:marLeft w:val="0"/>
              <w:marRight w:val="0"/>
              <w:marTop w:val="0"/>
              <w:marBottom w:val="0"/>
              <w:divBdr>
                <w:top w:val="none" w:sz="0" w:space="0" w:color="auto"/>
                <w:left w:val="none" w:sz="0" w:space="0" w:color="auto"/>
                <w:bottom w:val="none" w:sz="0" w:space="0" w:color="auto"/>
                <w:right w:val="none" w:sz="0" w:space="0" w:color="auto"/>
              </w:divBdr>
              <w:divsChild>
                <w:div w:id="517277915">
                  <w:marLeft w:val="0"/>
                  <w:marRight w:val="0"/>
                  <w:marTop w:val="0"/>
                  <w:marBottom w:val="0"/>
                  <w:divBdr>
                    <w:top w:val="none" w:sz="0" w:space="0" w:color="auto"/>
                    <w:left w:val="none" w:sz="0" w:space="0" w:color="auto"/>
                    <w:bottom w:val="none" w:sz="0" w:space="0" w:color="auto"/>
                    <w:right w:val="none" w:sz="0" w:space="0" w:color="auto"/>
                  </w:divBdr>
                  <w:divsChild>
                    <w:div w:id="1584143763">
                      <w:marLeft w:val="0"/>
                      <w:marRight w:val="0"/>
                      <w:marTop w:val="0"/>
                      <w:marBottom w:val="0"/>
                      <w:divBdr>
                        <w:top w:val="none" w:sz="0" w:space="0" w:color="auto"/>
                        <w:left w:val="none" w:sz="0" w:space="0" w:color="auto"/>
                        <w:bottom w:val="none" w:sz="0" w:space="0" w:color="auto"/>
                        <w:right w:val="none" w:sz="0" w:space="0" w:color="auto"/>
                      </w:divBdr>
                      <w:divsChild>
                        <w:div w:id="1282345186">
                          <w:marLeft w:val="0"/>
                          <w:marRight w:val="0"/>
                          <w:marTop w:val="0"/>
                          <w:marBottom w:val="0"/>
                          <w:divBdr>
                            <w:top w:val="none" w:sz="0" w:space="0" w:color="auto"/>
                            <w:left w:val="none" w:sz="0" w:space="0" w:color="auto"/>
                            <w:bottom w:val="none" w:sz="0" w:space="0" w:color="auto"/>
                            <w:right w:val="none" w:sz="0" w:space="0" w:color="auto"/>
                          </w:divBdr>
                          <w:divsChild>
                            <w:div w:id="808941328">
                              <w:marLeft w:val="0"/>
                              <w:marRight w:val="0"/>
                              <w:marTop w:val="0"/>
                              <w:marBottom w:val="0"/>
                              <w:divBdr>
                                <w:top w:val="none" w:sz="0" w:space="0" w:color="auto"/>
                                <w:left w:val="none" w:sz="0" w:space="0" w:color="auto"/>
                                <w:bottom w:val="none" w:sz="0" w:space="0" w:color="auto"/>
                                <w:right w:val="none" w:sz="0" w:space="0" w:color="auto"/>
                              </w:divBdr>
                              <w:divsChild>
                                <w:div w:id="3642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439224">
      <w:bodyDiv w:val="1"/>
      <w:marLeft w:val="0"/>
      <w:marRight w:val="0"/>
      <w:marTop w:val="0"/>
      <w:marBottom w:val="0"/>
      <w:divBdr>
        <w:top w:val="none" w:sz="0" w:space="0" w:color="auto"/>
        <w:left w:val="none" w:sz="0" w:space="0" w:color="auto"/>
        <w:bottom w:val="none" w:sz="0" w:space="0" w:color="auto"/>
        <w:right w:val="none" w:sz="0" w:space="0" w:color="auto"/>
      </w:divBdr>
    </w:div>
    <w:div w:id="151525365">
      <w:bodyDiv w:val="1"/>
      <w:marLeft w:val="0"/>
      <w:marRight w:val="0"/>
      <w:marTop w:val="0"/>
      <w:marBottom w:val="0"/>
      <w:divBdr>
        <w:top w:val="none" w:sz="0" w:space="0" w:color="auto"/>
        <w:left w:val="none" w:sz="0" w:space="0" w:color="auto"/>
        <w:bottom w:val="none" w:sz="0" w:space="0" w:color="auto"/>
        <w:right w:val="none" w:sz="0" w:space="0" w:color="auto"/>
      </w:divBdr>
    </w:div>
    <w:div w:id="154691233">
      <w:bodyDiv w:val="1"/>
      <w:marLeft w:val="0"/>
      <w:marRight w:val="0"/>
      <w:marTop w:val="0"/>
      <w:marBottom w:val="0"/>
      <w:divBdr>
        <w:top w:val="none" w:sz="0" w:space="0" w:color="auto"/>
        <w:left w:val="none" w:sz="0" w:space="0" w:color="auto"/>
        <w:bottom w:val="none" w:sz="0" w:space="0" w:color="auto"/>
        <w:right w:val="none" w:sz="0" w:space="0" w:color="auto"/>
      </w:divBdr>
      <w:divsChild>
        <w:div w:id="1765224588">
          <w:marLeft w:val="0"/>
          <w:marRight w:val="0"/>
          <w:marTop w:val="0"/>
          <w:marBottom w:val="0"/>
          <w:divBdr>
            <w:top w:val="none" w:sz="0" w:space="0" w:color="auto"/>
            <w:left w:val="none" w:sz="0" w:space="0" w:color="auto"/>
            <w:bottom w:val="none" w:sz="0" w:space="0" w:color="auto"/>
            <w:right w:val="none" w:sz="0" w:space="0" w:color="auto"/>
          </w:divBdr>
          <w:divsChild>
            <w:div w:id="941306062">
              <w:marLeft w:val="0"/>
              <w:marRight w:val="0"/>
              <w:marTop w:val="0"/>
              <w:marBottom w:val="0"/>
              <w:divBdr>
                <w:top w:val="none" w:sz="0" w:space="0" w:color="auto"/>
                <w:left w:val="none" w:sz="0" w:space="0" w:color="auto"/>
                <w:bottom w:val="none" w:sz="0" w:space="0" w:color="auto"/>
                <w:right w:val="none" w:sz="0" w:space="0" w:color="auto"/>
              </w:divBdr>
              <w:divsChild>
                <w:div w:id="1335300449">
                  <w:marLeft w:val="0"/>
                  <w:marRight w:val="0"/>
                  <w:marTop w:val="0"/>
                  <w:marBottom w:val="0"/>
                  <w:divBdr>
                    <w:top w:val="none" w:sz="0" w:space="0" w:color="auto"/>
                    <w:left w:val="none" w:sz="0" w:space="0" w:color="auto"/>
                    <w:bottom w:val="none" w:sz="0" w:space="0" w:color="auto"/>
                    <w:right w:val="none" w:sz="0" w:space="0" w:color="auto"/>
                  </w:divBdr>
                  <w:divsChild>
                    <w:div w:id="727581324">
                      <w:marLeft w:val="0"/>
                      <w:marRight w:val="0"/>
                      <w:marTop w:val="0"/>
                      <w:marBottom w:val="0"/>
                      <w:divBdr>
                        <w:top w:val="none" w:sz="0" w:space="0" w:color="auto"/>
                        <w:left w:val="none" w:sz="0" w:space="0" w:color="auto"/>
                        <w:bottom w:val="none" w:sz="0" w:space="0" w:color="auto"/>
                        <w:right w:val="none" w:sz="0" w:space="0" w:color="auto"/>
                      </w:divBdr>
                      <w:divsChild>
                        <w:div w:id="1332371944">
                          <w:marLeft w:val="0"/>
                          <w:marRight w:val="0"/>
                          <w:marTop w:val="0"/>
                          <w:marBottom w:val="0"/>
                          <w:divBdr>
                            <w:top w:val="none" w:sz="0" w:space="0" w:color="auto"/>
                            <w:left w:val="none" w:sz="0" w:space="0" w:color="auto"/>
                            <w:bottom w:val="none" w:sz="0" w:space="0" w:color="auto"/>
                            <w:right w:val="none" w:sz="0" w:space="0" w:color="auto"/>
                          </w:divBdr>
                          <w:divsChild>
                            <w:div w:id="6971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221469">
      <w:bodyDiv w:val="1"/>
      <w:marLeft w:val="0"/>
      <w:marRight w:val="0"/>
      <w:marTop w:val="0"/>
      <w:marBottom w:val="0"/>
      <w:divBdr>
        <w:top w:val="none" w:sz="0" w:space="0" w:color="auto"/>
        <w:left w:val="none" w:sz="0" w:space="0" w:color="auto"/>
        <w:bottom w:val="none" w:sz="0" w:space="0" w:color="auto"/>
        <w:right w:val="none" w:sz="0" w:space="0" w:color="auto"/>
      </w:divBdr>
      <w:divsChild>
        <w:div w:id="802769432">
          <w:marLeft w:val="0"/>
          <w:marRight w:val="0"/>
          <w:marTop w:val="0"/>
          <w:marBottom w:val="0"/>
          <w:divBdr>
            <w:top w:val="none" w:sz="0" w:space="0" w:color="auto"/>
            <w:left w:val="none" w:sz="0" w:space="0" w:color="auto"/>
            <w:bottom w:val="none" w:sz="0" w:space="0" w:color="auto"/>
            <w:right w:val="none" w:sz="0" w:space="0" w:color="auto"/>
          </w:divBdr>
          <w:divsChild>
            <w:div w:id="1202281763">
              <w:marLeft w:val="0"/>
              <w:marRight w:val="0"/>
              <w:marTop w:val="0"/>
              <w:marBottom w:val="0"/>
              <w:divBdr>
                <w:top w:val="none" w:sz="0" w:space="0" w:color="auto"/>
                <w:left w:val="none" w:sz="0" w:space="0" w:color="auto"/>
                <w:bottom w:val="none" w:sz="0" w:space="0" w:color="auto"/>
                <w:right w:val="none" w:sz="0" w:space="0" w:color="auto"/>
              </w:divBdr>
              <w:divsChild>
                <w:div w:id="1741517841">
                  <w:marLeft w:val="0"/>
                  <w:marRight w:val="0"/>
                  <w:marTop w:val="0"/>
                  <w:marBottom w:val="0"/>
                  <w:divBdr>
                    <w:top w:val="none" w:sz="0" w:space="0" w:color="auto"/>
                    <w:left w:val="none" w:sz="0" w:space="0" w:color="auto"/>
                    <w:bottom w:val="none" w:sz="0" w:space="0" w:color="auto"/>
                    <w:right w:val="none" w:sz="0" w:space="0" w:color="auto"/>
                  </w:divBdr>
                  <w:divsChild>
                    <w:div w:id="496115126">
                      <w:marLeft w:val="0"/>
                      <w:marRight w:val="0"/>
                      <w:marTop w:val="0"/>
                      <w:marBottom w:val="0"/>
                      <w:divBdr>
                        <w:top w:val="none" w:sz="0" w:space="0" w:color="auto"/>
                        <w:left w:val="none" w:sz="0" w:space="0" w:color="auto"/>
                        <w:bottom w:val="none" w:sz="0" w:space="0" w:color="auto"/>
                        <w:right w:val="none" w:sz="0" w:space="0" w:color="auto"/>
                      </w:divBdr>
                      <w:divsChild>
                        <w:div w:id="1736586968">
                          <w:marLeft w:val="0"/>
                          <w:marRight w:val="0"/>
                          <w:marTop w:val="0"/>
                          <w:marBottom w:val="0"/>
                          <w:divBdr>
                            <w:top w:val="none" w:sz="0" w:space="0" w:color="auto"/>
                            <w:left w:val="none" w:sz="0" w:space="0" w:color="auto"/>
                            <w:bottom w:val="none" w:sz="0" w:space="0" w:color="auto"/>
                            <w:right w:val="none" w:sz="0" w:space="0" w:color="auto"/>
                          </w:divBdr>
                          <w:divsChild>
                            <w:div w:id="1727727039">
                              <w:marLeft w:val="0"/>
                              <w:marRight w:val="0"/>
                              <w:marTop w:val="0"/>
                              <w:marBottom w:val="0"/>
                              <w:divBdr>
                                <w:top w:val="none" w:sz="0" w:space="0" w:color="auto"/>
                                <w:left w:val="none" w:sz="0" w:space="0" w:color="auto"/>
                                <w:bottom w:val="none" w:sz="0" w:space="0" w:color="auto"/>
                                <w:right w:val="none" w:sz="0" w:space="0" w:color="auto"/>
                              </w:divBdr>
                              <w:divsChild>
                                <w:div w:id="241722344">
                                  <w:marLeft w:val="0"/>
                                  <w:marRight w:val="0"/>
                                  <w:marTop w:val="0"/>
                                  <w:marBottom w:val="0"/>
                                  <w:divBdr>
                                    <w:top w:val="none" w:sz="0" w:space="0" w:color="auto"/>
                                    <w:left w:val="none" w:sz="0" w:space="0" w:color="auto"/>
                                    <w:bottom w:val="none" w:sz="0" w:space="0" w:color="auto"/>
                                    <w:right w:val="none" w:sz="0" w:space="0" w:color="auto"/>
                                  </w:divBdr>
                                  <w:divsChild>
                                    <w:div w:id="5183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905545">
      <w:bodyDiv w:val="1"/>
      <w:marLeft w:val="0"/>
      <w:marRight w:val="0"/>
      <w:marTop w:val="0"/>
      <w:marBottom w:val="0"/>
      <w:divBdr>
        <w:top w:val="none" w:sz="0" w:space="0" w:color="auto"/>
        <w:left w:val="none" w:sz="0" w:space="0" w:color="auto"/>
        <w:bottom w:val="none" w:sz="0" w:space="0" w:color="auto"/>
        <w:right w:val="none" w:sz="0" w:space="0" w:color="auto"/>
      </w:divBdr>
      <w:divsChild>
        <w:div w:id="1386837181">
          <w:marLeft w:val="0"/>
          <w:marRight w:val="0"/>
          <w:marTop w:val="0"/>
          <w:marBottom w:val="0"/>
          <w:divBdr>
            <w:top w:val="none" w:sz="0" w:space="0" w:color="auto"/>
            <w:left w:val="none" w:sz="0" w:space="0" w:color="auto"/>
            <w:bottom w:val="none" w:sz="0" w:space="0" w:color="auto"/>
            <w:right w:val="none" w:sz="0" w:space="0" w:color="auto"/>
          </w:divBdr>
          <w:divsChild>
            <w:div w:id="1716811082">
              <w:marLeft w:val="0"/>
              <w:marRight w:val="0"/>
              <w:marTop w:val="0"/>
              <w:marBottom w:val="0"/>
              <w:divBdr>
                <w:top w:val="none" w:sz="0" w:space="0" w:color="auto"/>
                <w:left w:val="none" w:sz="0" w:space="0" w:color="auto"/>
                <w:bottom w:val="none" w:sz="0" w:space="0" w:color="auto"/>
                <w:right w:val="none" w:sz="0" w:space="0" w:color="auto"/>
              </w:divBdr>
              <w:divsChild>
                <w:div w:id="723603564">
                  <w:marLeft w:val="0"/>
                  <w:marRight w:val="0"/>
                  <w:marTop w:val="0"/>
                  <w:marBottom w:val="0"/>
                  <w:divBdr>
                    <w:top w:val="none" w:sz="0" w:space="0" w:color="auto"/>
                    <w:left w:val="none" w:sz="0" w:space="0" w:color="auto"/>
                    <w:bottom w:val="none" w:sz="0" w:space="0" w:color="auto"/>
                    <w:right w:val="none" w:sz="0" w:space="0" w:color="auto"/>
                  </w:divBdr>
                  <w:divsChild>
                    <w:div w:id="822233037">
                      <w:marLeft w:val="0"/>
                      <w:marRight w:val="0"/>
                      <w:marTop w:val="0"/>
                      <w:marBottom w:val="0"/>
                      <w:divBdr>
                        <w:top w:val="none" w:sz="0" w:space="0" w:color="auto"/>
                        <w:left w:val="none" w:sz="0" w:space="0" w:color="auto"/>
                        <w:bottom w:val="none" w:sz="0" w:space="0" w:color="auto"/>
                        <w:right w:val="none" w:sz="0" w:space="0" w:color="auto"/>
                      </w:divBdr>
                      <w:divsChild>
                        <w:div w:id="860582901">
                          <w:marLeft w:val="0"/>
                          <w:marRight w:val="0"/>
                          <w:marTop w:val="0"/>
                          <w:marBottom w:val="0"/>
                          <w:divBdr>
                            <w:top w:val="none" w:sz="0" w:space="0" w:color="auto"/>
                            <w:left w:val="none" w:sz="0" w:space="0" w:color="auto"/>
                            <w:bottom w:val="none" w:sz="0" w:space="0" w:color="auto"/>
                            <w:right w:val="none" w:sz="0" w:space="0" w:color="auto"/>
                          </w:divBdr>
                          <w:divsChild>
                            <w:div w:id="1210914775">
                              <w:marLeft w:val="0"/>
                              <w:marRight w:val="0"/>
                              <w:marTop w:val="0"/>
                              <w:marBottom w:val="0"/>
                              <w:divBdr>
                                <w:top w:val="none" w:sz="0" w:space="0" w:color="auto"/>
                                <w:left w:val="none" w:sz="0" w:space="0" w:color="auto"/>
                                <w:bottom w:val="none" w:sz="0" w:space="0" w:color="auto"/>
                                <w:right w:val="none" w:sz="0" w:space="0" w:color="auto"/>
                              </w:divBdr>
                              <w:divsChild>
                                <w:div w:id="643972052">
                                  <w:marLeft w:val="0"/>
                                  <w:marRight w:val="0"/>
                                  <w:marTop w:val="0"/>
                                  <w:marBottom w:val="0"/>
                                  <w:divBdr>
                                    <w:top w:val="none" w:sz="0" w:space="0" w:color="auto"/>
                                    <w:left w:val="none" w:sz="0" w:space="0" w:color="auto"/>
                                    <w:bottom w:val="none" w:sz="0" w:space="0" w:color="auto"/>
                                    <w:right w:val="none" w:sz="0" w:space="0" w:color="auto"/>
                                  </w:divBdr>
                                  <w:divsChild>
                                    <w:div w:id="150431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2899322">
      <w:bodyDiv w:val="1"/>
      <w:marLeft w:val="0"/>
      <w:marRight w:val="0"/>
      <w:marTop w:val="0"/>
      <w:marBottom w:val="0"/>
      <w:divBdr>
        <w:top w:val="none" w:sz="0" w:space="0" w:color="auto"/>
        <w:left w:val="none" w:sz="0" w:space="0" w:color="auto"/>
        <w:bottom w:val="none" w:sz="0" w:space="0" w:color="auto"/>
        <w:right w:val="none" w:sz="0" w:space="0" w:color="auto"/>
      </w:divBdr>
    </w:div>
    <w:div w:id="459492266">
      <w:bodyDiv w:val="1"/>
      <w:marLeft w:val="0"/>
      <w:marRight w:val="0"/>
      <w:marTop w:val="0"/>
      <w:marBottom w:val="0"/>
      <w:divBdr>
        <w:top w:val="none" w:sz="0" w:space="0" w:color="auto"/>
        <w:left w:val="none" w:sz="0" w:space="0" w:color="auto"/>
        <w:bottom w:val="none" w:sz="0" w:space="0" w:color="auto"/>
        <w:right w:val="none" w:sz="0" w:space="0" w:color="auto"/>
      </w:divBdr>
      <w:divsChild>
        <w:div w:id="1131634659">
          <w:marLeft w:val="0"/>
          <w:marRight w:val="0"/>
          <w:marTop w:val="0"/>
          <w:marBottom w:val="0"/>
          <w:divBdr>
            <w:top w:val="none" w:sz="0" w:space="0" w:color="auto"/>
            <w:left w:val="none" w:sz="0" w:space="0" w:color="auto"/>
            <w:bottom w:val="none" w:sz="0" w:space="0" w:color="auto"/>
            <w:right w:val="none" w:sz="0" w:space="0" w:color="auto"/>
          </w:divBdr>
          <w:divsChild>
            <w:div w:id="171576599">
              <w:marLeft w:val="0"/>
              <w:marRight w:val="0"/>
              <w:marTop w:val="0"/>
              <w:marBottom w:val="0"/>
              <w:divBdr>
                <w:top w:val="none" w:sz="0" w:space="0" w:color="auto"/>
                <w:left w:val="none" w:sz="0" w:space="0" w:color="auto"/>
                <w:bottom w:val="none" w:sz="0" w:space="0" w:color="auto"/>
                <w:right w:val="none" w:sz="0" w:space="0" w:color="auto"/>
              </w:divBdr>
              <w:divsChild>
                <w:div w:id="329991840">
                  <w:marLeft w:val="0"/>
                  <w:marRight w:val="0"/>
                  <w:marTop w:val="0"/>
                  <w:marBottom w:val="0"/>
                  <w:divBdr>
                    <w:top w:val="none" w:sz="0" w:space="0" w:color="auto"/>
                    <w:left w:val="none" w:sz="0" w:space="0" w:color="auto"/>
                    <w:bottom w:val="none" w:sz="0" w:space="0" w:color="auto"/>
                    <w:right w:val="none" w:sz="0" w:space="0" w:color="auto"/>
                  </w:divBdr>
                  <w:divsChild>
                    <w:div w:id="804813870">
                      <w:marLeft w:val="0"/>
                      <w:marRight w:val="0"/>
                      <w:marTop w:val="0"/>
                      <w:marBottom w:val="0"/>
                      <w:divBdr>
                        <w:top w:val="none" w:sz="0" w:space="0" w:color="auto"/>
                        <w:left w:val="none" w:sz="0" w:space="0" w:color="auto"/>
                        <w:bottom w:val="none" w:sz="0" w:space="0" w:color="auto"/>
                        <w:right w:val="none" w:sz="0" w:space="0" w:color="auto"/>
                      </w:divBdr>
                      <w:divsChild>
                        <w:div w:id="901213710">
                          <w:marLeft w:val="0"/>
                          <w:marRight w:val="0"/>
                          <w:marTop w:val="0"/>
                          <w:marBottom w:val="0"/>
                          <w:divBdr>
                            <w:top w:val="none" w:sz="0" w:space="0" w:color="auto"/>
                            <w:left w:val="none" w:sz="0" w:space="0" w:color="auto"/>
                            <w:bottom w:val="none" w:sz="0" w:space="0" w:color="auto"/>
                            <w:right w:val="none" w:sz="0" w:space="0" w:color="auto"/>
                          </w:divBdr>
                          <w:divsChild>
                            <w:div w:id="756905436">
                              <w:marLeft w:val="0"/>
                              <w:marRight w:val="0"/>
                              <w:marTop w:val="0"/>
                              <w:marBottom w:val="0"/>
                              <w:divBdr>
                                <w:top w:val="none" w:sz="0" w:space="0" w:color="auto"/>
                                <w:left w:val="none" w:sz="0" w:space="0" w:color="auto"/>
                                <w:bottom w:val="none" w:sz="0" w:space="0" w:color="auto"/>
                                <w:right w:val="none" w:sz="0" w:space="0" w:color="auto"/>
                              </w:divBdr>
                              <w:divsChild>
                                <w:div w:id="1605308985">
                                  <w:marLeft w:val="0"/>
                                  <w:marRight w:val="0"/>
                                  <w:marTop w:val="0"/>
                                  <w:marBottom w:val="0"/>
                                  <w:divBdr>
                                    <w:top w:val="none" w:sz="0" w:space="0" w:color="auto"/>
                                    <w:left w:val="none" w:sz="0" w:space="0" w:color="auto"/>
                                    <w:bottom w:val="none" w:sz="0" w:space="0" w:color="auto"/>
                                    <w:right w:val="none" w:sz="0" w:space="0" w:color="auto"/>
                                  </w:divBdr>
                                  <w:divsChild>
                                    <w:div w:id="558055077">
                                      <w:marLeft w:val="54"/>
                                      <w:marRight w:val="0"/>
                                      <w:marTop w:val="0"/>
                                      <w:marBottom w:val="0"/>
                                      <w:divBdr>
                                        <w:top w:val="none" w:sz="0" w:space="0" w:color="auto"/>
                                        <w:left w:val="none" w:sz="0" w:space="0" w:color="auto"/>
                                        <w:bottom w:val="none" w:sz="0" w:space="0" w:color="auto"/>
                                        <w:right w:val="none" w:sz="0" w:space="0" w:color="auto"/>
                                      </w:divBdr>
                                      <w:divsChild>
                                        <w:div w:id="1077822523">
                                          <w:marLeft w:val="0"/>
                                          <w:marRight w:val="0"/>
                                          <w:marTop w:val="0"/>
                                          <w:marBottom w:val="0"/>
                                          <w:divBdr>
                                            <w:top w:val="none" w:sz="0" w:space="0" w:color="auto"/>
                                            <w:left w:val="none" w:sz="0" w:space="0" w:color="auto"/>
                                            <w:bottom w:val="none" w:sz="0" w:space="0" w:color="auto"/>
                                            <w:right w:val="none" w:sz="0" w:space="0" w:color="auto"/>
                                          </w:divBdr>
                                          <w:divsChild>
                                            <w:div w:id="1509175634">
                                              <w:marLeft w:val="0"/>
                                              <w:marRight w:val="0"/>
                                              <w:marTop w:val="0"/>
                                              <w:marBottom w:val="109"/>
                                              <w:divBdr>
                                                <w:top w:val="single" w:sz="6" w:space="0" w:color="F5F5F5"/>
                                                <w:left w:val="single" w:sz="6" w:space="0" w:color="F5F5F5"/>
                                                <w:bottom w:val="single" w:sz="6" w:space="0" w:color="F5F5F5"/>
                                                <w:right w:val="single" w:sz="6" w:space="0" w:color="F5F5F5"/>
                                              </w:divBdr>
                                              <w:divsChild>
                                                <w:div w:id="1842117599">
                                                  <w:marLeft w:val="0"/>
                                                  <w:marRight w:val="0"/>
                                                  <w:marTop w:val="0"/>
                                                  <w:marBottom w:val="0"/>
                                                  <w:divBdr>
                                                    <w:top w:val="none" w:sz="0" w:space="0" w:color="auto"/>
                                                    <w:left w:val="none" w:sz="0" w:space="0" w:color="auto"/>
                                                    <w:bottom w:val="none" w:sz="0" w:space="0" w:color="auto"/>
                                                    <w:right w:val="none" w:sz="0" w:space="0" w:color="auto"/>
                                                  </w:divBdr>
                                                  <w:divsChild>
                                                    <w:div w:id="5996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795828480">
      <w:bodyDiv w:val="1"/>
      <w:marLeft w:val="0"/>
      <w:marRight w:val="0"/>
      <w:marTop w:val="0"/>
      <w:marBottom w:val="0"/>
      <w:divBdr>
        <w:top w:val="none" w:sz="0" w:space="0" w:color="auto"/>
        <w:left w:val="none" w:sz="0" w:space="0" w:color="auto"/>
        <w:bottom w:val="none" w:sz="0" w:space="0" w:color="auto"/>
        <w:right w:val="none" w:sz="0" w:space="0" w:color="auto"/>
      </w:divBdr>
    </w:div>
    <w:div w:id="861553500">
      <w:bodyDiv w:val="1"/>
      <w:marLeft w:val="0"/>
      <w:marRight w:val="0"/>
      <w:marTop w:val="0"/>
      <w:marBottom w:val="0"/>
      <w:divBdr>
        <w:top w:val="none" w:sz="0" w:space="0" w:color="auto"/>
        <w:left w:val="none" w:sz="0" w:space="0" w:color="auto"/>
        <w:bottom w:val="none" w:sz="0" w:space="0" w:color="auto"/>
        <w:right w:val="none" w:sz="0" w:space="0" w:color="auto"/>
      </w:divBdr>
      <w:divsChild>
        <w:div w:id="333995366">
          <w:marLeft w:val="0"/>
          <w:marRight w:val="0"/>
          <w:marTop w:val="0"/>
          <w:marBottom w:val="0"/>
          <w:divBdr>
            <w:top w:val="none" w:sz="0" w:space="0" w:color="auto"/>
            <w:left w:val="none" w:sz="0" w:space="0" w:color="auto"/>
            <w:bottom w:val="none" w:sz="0" w:space="0" w:color="auto"/>
            <w:right w:val="none" w:sz="0" w:space="0" w:color="auto"/>
          </w:divBdr>
          <w:divsChild>
            <w:div w:id="710882838">
              <w:marLeft w:val="0"/>
              <w:marRight w:val="0"/>
              <w:marTop w:val="0"/>
              <w:marBottom w:val="0"/>
              <w:divBdr>
                <w:top w:val="none" w:sz="0" w:space="0" w:color="auto"/>
                <w:left w:val="none" w:sz="0" w:space="0" w:color="auto"/>
                <w:bottom w:val="none" w:sz="0" w:space="0" w:color="auto"/>
                <w:right w:val="none" w:sz="0" w:space="0" w:color="auto"/>
              </w:divBdr>
              <w:divsChild>
                <w:div w:id="1655454765">
                  <w:marLeft w:val="0"/>
                  <w:marRight w:val="0"/>
                  <w:marTop w:val="0"/>
                  <w:marBottom w:val="0"/>
                  <w:divBdr>
                    <w:top w:val="none" w:sz="0" w:space="0" w:color="auto"/>
                    <w:left w:val="none" w:sz="0" w:space="0" w:color="auto"/>
                    <w:bottom w:val="none" w:sz="0" w:space="0" w:color="auto"/>
                    <w:right w:val="none" w:sz="0" w:space="0" w:color="auto"/>
                  </w:divBdr>
                  <w:divsChild>
                    <w:div w:id="570625528">
                      <w:marLeft w:val="0"/>
                      <w:marRight w:val="0"/>
                      <w:marTop w:val="0"/>
                      <w:marBottom w:val="0"/>
                      <w:divBdr>
                        <w:top w:val="none" w:sz="0" w:space="0" w:color="auto"/>
                        <w:left w:val="none" w:sz="0" w:space="0" w:color="auto"/>
                        <w:bottom w:val="none" w:sz="0" w:space="0" w:color="auto"/>
                        <w:right w:val="none" w:sz="0" w:space="0" w:color="auto"/>
                      </w:divBdr>
                      <w:divsChild>
                        <w:div w:id="360396861">
                          <w:marLeft w:val="0"/>
                          <w:marRight w:val="0"/>
                          <w:marTop w:val="0"/>
                          <w:marBottom w:val="0"/>
                          <w:divBdr>
                            <w:top w:val="none" w:sz="0" w:space="0" w:color="auto"/>
                            <w:left w:val="none" w:sz="0" w:space="0" w:color="auto"/>
                            <w:bottom w:val="none" w:sz="0" w:space="0" w:color="auto"/>
                            <w:right w:val="none" w:sz="0" w:space="0" w:color="auto"/>
                          </w:divBdr>
                          <w:divsChild>
                            <w:div w:id="807160814">
                              <w:marLeft w:val="0"/>
                              <w:marRight w:val="0"/>
                              <w:marTop w:val="0"/>
                              <w:marBottom w:val="0"/>
                              <w:divBdr>
                                <w:top w:val="none" w:sz="0" w:space="0" w:color="auto"/>
                                <w:left w:val="none" w:sz="0" w:space="0" w:color="auto"/>
                                <w:bottom w:val="none" w:sz="0" w:space="0" w:color="auto"/>
                                <w:right w:val="none" w:sz="0" w:space="0" w:color="auto"/>
                              </w:divBdr>
                              <w:divsChild>
                                <w:div w:id="1548880931">
                                  <w:marLeft w:val="0"/>
                                  <w:marRight w:val="0"/>
                                  <w:marTop w:val="0"/>
                                  <w:marBottom w:val="0"/>
                                  <w:divBdr>
                                    <w:top w:val="none" w:sz="0" w:space="0" w:color="auto"/>
                                    <w:left w:val="none" w:sz="0" w:space="0" w:color="auto"/>
                                    <w:bottom w:val="none" w:sz="0" w:space="0" w:color="auto"/>
                                    <w:right w:val="none" w:sz="0" w:space="0" w:color="auto"/>
                                  </w:divBdr>
                                  <w:divsChild>
                                    <w:div w:id="271059457">
                                      <w:marLeft w:val="54"/>
                                      <w:marRight w:val="0"/>
                                      <w:marTop w:val="0"/>
                                      <w:marBottom w:val="0"/>
                                      <w:divBdr>
                                        <w:top w:val="none" w:sz="0" w:space="0" w:color="auto"/>
                                        <w:left w:val="none" w:sz="0" w:space="0" w:color="auto"/>
                                        <w:bottom w:val="none" w:sz="0" w:space="0" w:color="auto"/>
                                        <w:right w:val="none" w:sz="0" w:space="0" w:color="auto"/>
                                      </w:divBdr>
                                      <w:divsChild>
                                        <w:div w:id="1331518784">
                                          <w:marLeft w:val="0"/>
                                          <w:marRight w:val="0"/>
                                          <w:marTop w:val="0"/>
                                          <w:marBottom w:val="0"/>
                                          <w:divBdr>
                                            <w:top w:val="none" w:sz="0" w:space="0" w:color="auto"/>
                                            <w:left w:val="none" w:sz="0" w:space="0" w:color="auto"/>
                                            <w:bottom w:val="none" w:sz="0" w:space="0" w:color="auto"/>
                                            <w:right w:val="none" w:sz="0" w:space="0" w:color="auto"/>
                                          </w:divBdr>
                                          <w:divsChild>
                                            <w:div w:id="2071076378">
                                              <w:marLeft w:val="0"/>
                                              <w:marRight w:val="0"/>
                                              <w:marTop w:val="0"/>
                                              <w:marBottom w:val="109"/>
                                              <w:divBdr>
                                                <w:top w:val="single" w:sz="6" w:space="0" w:color="F5F5F5"/>
                                                <w:left w:val="single" w:sz="6" w:space="0" w:color="F5F5F5"/>
                                                <w:bottom w:val="single" w:sz="6" w:space="0" w:color="F5F5F5"/>
                                                <w:right w:val="single" w:sz="6" w:space="0" w:color="F5F5F5"/>
                                              </w:divBdr>
                                              <w:divsChild>
                                                <w:div w:id="1947495218">
                                                  <w:marLeft w:val="0"/>
                                                  <w:marRight w:val="0"/>
                                                  <w:marTop w:val="0"/>
                                                  <w:marBottom w:val="0"/>
                                                  <w:divBdr>
                                                    <w:top w:val="none" w:sz="0" w:space="0" w:color="auto"/>
                                                    <w:left w:val="none" w:sz="0" w:space="0" w:color="auto"/>
                                                    <w:bottom w:val="none" w:sz="0" w:space="0" w:color="auto"/>
                                                    <w:right w:val="none" w:sz="0" w:space="0" w:color="auto"/>
                                                  </w:divBdr>
                                                  <w:divsChild>
                                                    <w:div w:id="139134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052521">
      <w:bodyDiv w:val="1"/>
      <w:marLeft w:val="0"/>
      <w:marRight w:val="0"/>
      <w:marTop w:val="0"/>
      <w:marBottom w:val="0"/>
      <w:divBdr>
        <w:top w:val="none" w:sz="0" w:space="0" w:color="auto"/>
        <w:left w:val="none" w:sz="0" w:space="0" w:color="auto"/>
        <w:bottom w:val="none" w:sz="0" w:space="0" w:color="auto"/>
        <w:right w:val="none" w:sz="0" w:space="0" w:color="auto"/>
      </w:divBdr>
      <w:divsChild>
        <w:div w:id="997342057">
          <w:marLeft w:val="0"/>
          <w:marRight w:val="0"/>
          <w:marTop w:val="0"/>
          <w:marBottom w:val="0"/>
          <w:divBdr>
            <w:top w:val="none" w:sz="0" w:space="0" w:color="auto"/>
            <w:left w:val="none" w:sz="0" w:space="0" w:color="auto"/>
            <w:bottom w:val="none" w:sz="0" w:space="0" w:color="auto"/>
            <w:right w:val="none" w:sz="0" w:space="0" w:color="auto"/>
          </w:divBdr>
          <w:divsChild>
            <w:div w:id="1693536473">
              <w:marLeft w:val="0"/>
              <w:marRight w:val="0"/>
              <w:marTop w:val="0"/>
              <w:marBottom w:val="0"/>
              <w:divBdr>
                <w:top w:val="none" w:sz="0" w:space="0" w:color="auto"/>
                <w:left w:val="none" w:sz="0" w:space="0" w:color="auto"/>
                <w:bottom w:val="none" w:sz="0" w:space="0" w:color="auto"/>
                <w:right w:val="none" w:sz="0" w:space="0" w:color="auto"/>
              </w:divBdr>
              <w:divsChild>
                <w:div w:id="1241066468">
                  <w:marLeft w:val="0"/>
                  <w:marRight w:val="0"/>
                  <w:marTop w:val="0"/>
                  <w:marBottom w:val="0"/>
                  <w:divBdr>
                    <w:top w:val="none" w:sz="0" w:space="0" w:color="auto"/>
                    <w:left w:val="none" w:sz="0" w:space="0" w:color="auto"/>
                    <w:bottom w:val="none" w:sz="0" w:space="0" w:color="auto"/>
                    <w:right w:val="none" w:sz="0" w:space="0" w:color="auto"/>
                  </w:divBdr>
                  <w:divsChild>
                    <w:div w:id="1415660764">
                      <w:marLeft w:val="0"/>
                      <w:marRight w:val="0"/>
                      <w:marTop w:val="0"/>
                      <w:marBottom w:val="0"/>
                      <w:divBdr>
                        <w:top w:val="none" w:sz="0" w:space="0" w:color="auto"/>
                        <w:left w:val="none" w:sz="0" w:space="0" w:color="auto"/>
                        <w:bottom w:val="none" w:sz="0" w:space="0" w:color="auto"/>
                        <w:right w:val="none" w:sz="0" w:space="0" w:color="auto"/>
                      </w:divBdr>
                      <w:divsChild>
                        <w:div w:id="1787506446">
                          <w:marLeft w:val="0"/>
                          <w:marRight w:val="0"/>
                          <w:marTop w:val="0"/>
                          <w:marBottom w:val="0"/>
                          <w:divBdr>
                            <w:top w:val="none" w:sz="0" w:space="0" w:color="auto"/>
                            <w:left w:val="none" w:sz="0" w:space="0" w:color="auto"/>
                            <w:bottom w:val="none" w:sz="0" w:space="0" w:color="auto"/>
                            <w:right w:val="none" w:sz="0" w:space="0" w:color="auto"/>
                          </w:divBdr>
                          <w:divsChild>
                            <w:div w:id="2387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41886953">
      <w:bodyDiv w:val="1"/>
      <w:marLeft w:val="0"/>
      <w:marRight w:val="0"/>
      <w:marTop w:val="0"/>
      <w:marBottom w:val="0"/>
      <w:divBdr>
        <w:top w:val="none" w:sz="0" w:space="0" w:color="auto"/>
        <w:left w:val="none" w:sz="0" w:space="0" w:color="auto"/>
        <w:bottom w:val="none" w:sz="0" w:space="0" w:color="auto"/>
        <w:right w:val="none" w:sz="0" w:space="0" w:color="auto"/>
      </w:divBdr>
      <w:divsChild>
        <w:div w:id="1741294237">
          <w:marLeft w:val="0"/>
          <w:marRight w:val="0"/>
          <w:marTop w:val="0"/>
          <w:marBottom w:val="0"/>
          <w:divBdr>
            <w:top w:val="none" w:sz="0" w:space="0" w:color="auto"/>
            <w:left w:val="none" w:sz="0" w:space="0" w:color="auto"/>
            <w:bottom w:val="none" w:sz="0" w:space="0" w:color="auto"/>
            <w:right w:val="none" w:sz="0" w:space="0" w:color="auto"/>
          </w:divBdr>
          <w:divsChild>
            <w:div w:id="19284762">
              <w:marLeft w:val="0"/>
              <w:marRight w:val="0"/>
              <w:marTop w:val="0"/>
              <w:marBottom w:val="0"/>
              <w:divBdr>
                <w:top w:val="none" w:sz="0" w:space="0" w:color="auto"/>
                <w:left w:val="none" w:sz="0" w:space="0" w:color="auto"/>
                <w:bottom w:val="none" w:sz="0" w:space="0" w:color="auto"/>
                <w:right w:val="none" w:sz="0" w:space="0" w:color="auto"/>
              </w:divBdr>
              <w:divsChild>
                <w:div w:id="618727898">
                  <w:marLeft w:val="0"/>
                  <w:marRight w:val="0"/>
                  <w:marTop w:val="0"/>
                  <w:marBottom w:val="0"/>
                  <w:divBdr>
                    <w:top w:val="none" w:sz="0" w:space="0" w:color="auto"/>
                    <w:left w:val="none" w:sz="0" w:space="0" w:color="auto"/>
                    <w:bottom w:val="none" w:sz="0" w:space="0" w:color="auto"/>
                    <w:right w:val="none" w:sz="0" w:space="0" w:color="auto"/>
                  </w:divBdr>
                  <w:divsChild>
                    <w:div w:id="505368776">
                      <w:marLeft w:val="0"/>
                      <w:marRight w:val="0"/>
                      <w:marTop w:val="0"/>
                      <w:marBottom w:val="0"/>
                      <w:divBdr>
                        <w:top w:val="none" w:sz="0" w:space="0" w:color="auto"/>
                        <w:left w:val="none" w:sz="0" w:space="0" w:color="auto"/>
                        <w:bottom w:val="none" w:sz="0" w:space="0" w:color="auto"/>
                        <w:right w:val="none" w:sz="0" w:space="0" w:color="auto"/>
                      </w:divBdr>
                      <w:divsChild>
                        <w:div w:id="619529361">
                          <w:marLeft w:val="0"/>
                          <w:marRight w:val="0"/>
                          <w:marTop w:val="0"/>
                          <w:marBottom w:val="0"/>
                          <w:divBdr>
                            <w:top w:val="none" w:sz="0" w:space="0" w:color="auto"/>
                            <w:left w:val="none" w:sz="0" w:space="0" w:color="auto"/>
                            <w:bottom w:val="none" w:sz="0" w:space="0" w:color="auto"/>
                            <w:right w:val="none" w:sz="0" w:space="0" w:color="auto"/>
                          </w:divBdr>
                          <w:divsChild>
                            <w:div w:id="108745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10067019">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123378226">
      <w:bodyDiv w:val="1"/>
      <w:marLeft w:val="0"/>
      <w:marRight w:val="0"/>
      <w:marTop w:val="0"/>
      <w:marBottom w:val="0"/>
      <w:divBdr>
        <w:top w:val="none" w:sz="0" w:space="0" w:color="auto"/>
        <w:left w:val="none" w:sz="0" w:space="0" w:color="auto"/>
        <w:bottom w:val="none" w:sz="0" w:space="0" w:color="auto"/>
        <w:right w:val="none" w:sz="0" w:space="0" w:color="auto"/>
      </w:divBdr>
      <w:divsChild>
        <w:div w:id="261883743">
          <w:marLeft w:val="0"/>
          <w:marRight w:val="0"/>
          <w:marTop w:val="0"/>
          <w:marBottom w:val="0"/>
          <w:divBdr>
            <w:top w:val="none" w:sz="0" w:space="0" w:color="auto"/>
            <w:left w:val="none" w:sz="0" w:space="0" w:color="auto"/>
            <w:bottom w:val="none" w:sz="0" w:space="0" w:color="auto"/>
            <w:right w:val="none" w:sz="0" w:space="0" w:color="auto"/>
          </w:divBdr>
          <w:divsChild>
            <w:div w:id="1711104004">
              <w:marLeft w:val="0"/>
              <w:marRight w:val="0"/>
              <w:marTop w:val="0"/>
              <w:marBottom w:val="0"/>
              <w:divBdr>
                <w:top w:val="none" w:sz="0" w:space="0" w:color="auto"/>
                <w:left w:val="none" w:sz="0" w:space="0" w:color="auto"/>
                <w:bottom w:val="none" w:sz="0" w:space="0" w:color="auto"/>
                <w:right w:val="none" w:sz="0" w:space="0" w:color="auto"/>
              </w:divBdr>
              <w:divsChild>
                <w:div w:id="789590002">
                  <w:marLeft w:val="0"/>
                  <w:marRight w:val="0"/>
                  <w:marTop w:val="0"/>
                  <w:marBottom w:val="0"/>
                  <w:divBdr>
                    <w:top w:val="none" w:sz="0" w:space="0" w:color="auto"/>
                    <w:left w:val="none" w:sz="0" w:space="0" w:color="auto"/>
                    <w:bottom w:val="none" w:sz="0" w:space="0" w:color="auto"/>
                    <w:right w:val="none" w:sz="0" w:space="0" w:color="auto"/>
                  </w:divBdr>
                  <w:divsChild>
                    <w:div w:id="2092651821">
                      <w:marLeft w:val="0"/>
                      <w:marRight w:val="0"/>
                      <w:marTop w:val="0"/>
                      <w:marBottom w:val="0"/>
                      <w:divBdr>
                        <w:top w:val="none" w:sz="0" w:space="0" w:color="auto"/>
                        <w:left w:val="none" w:sz="0" w:space="0" w:color="auto"/>
                        <w:bottom w:val="none" w:sz="0" w:space="0" w:color="auto"/>
                        <w:right w:val="none" w:sz="0" w:space="0" w:color="auto"/>
                      </w:divBdr>
                      <w:divsChild>
                        <w:div w:id="928392908">
                          <w:marLeft w:val="0"/>
                          <w:marRight w:val="0"/>
                          <w:marTop w:val="0"/>
                          <w:marBottom w:val="0"/>
                          <w:divBdr>
                            <w:top w:val="none" w:sz="0" w:space="0" w:color="auto"/>
                            <w:left w:val="none" w:sz="0" w:space="0" w:color="auto"/>
                            <w:bottom w:val="none" w:sz="0" w:space="0" w:color="auto"/>
                            <w:right w:val="none" w:sz="0" w:space="0" w:color="auto"/>
                          </w:divBdr>
                          <w:divsChild>
                            <w:div w:id="38474725">
                              <w:marLeft w:val="0"/>
                              <w:marRight w:val="0"/>
                              <w:marTop w:val="0"/>
                              <w:marBottom w:val="0"/>
                              <w:divBdr>
                                <w:top w:val="none" w:sz="0" w:space="0" w:color="auto"/>
                                <w:left w:val="none" w:sz="0" w:space="0" w:color="auto"/>
                                <w:bottom w:val="none" w:sz="0" w:space="0" w:color="auto"/>
                                <w:right w:val="none" w:sz="0" w:space="0" w:color="auto"/>
                              </w:divBdr>
                              <w:divsChild>
                                <w:div w:id="13497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368554">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94498912">
      <w:bodyDiv w:val="1"/>
      <w:marLeft w:val="0"/>
      <w:marRight w:val="0"/>
      <w:marTop w:val="0"/>
      <w:marBottom w:val="0"/>
      <w:divBdr>
        <w:top w:val="none" w:sz="0" w:space="0" w:color="auto"/>
        <w:left w:val="none" w:sz="0" w:space="0" w:color="auto"/>
        <w:bottom w:val="none" w:sz="0" w:space="0" w:color="auto"/>
        <w:right w:val="none" w:sz="0" w:space="0" w:color="auto"/>
      </w:divBdr>
    </w:div>
    <w:div w:id="1732656027">
      <w:bodyDiv w:val="1"/>
      <w:marLeft w:val="0"/>
      <w:marRight w:val="0"/>
      <w:marTop w:val="0"/>
      <w:marBottom w:val="0"/>
      <w:divBdr>
        <w:top w:val="none" w:sz="0" w:space="0" w:color="auto"/>
        <w:left w:val="none" w:sz="0" w:space="0" w:color="auto"/>
        <w:bottom w:val="none" w:sz="0" w:space="0" w:color="auto"/>
        <w:right w:val="none" w:sz="0" w:space="0" w:color="auto"/>
      </w:divBdr>
    </w:div>
    <w:div w:id="1771586350">
      <w:bodyDiv w:val="1"/>
      <w:marLeft w:val="0"/>
      <w:marRight w:val="0"/>
      <w:marTop w:val="0"/>
      <w:marBottom w:val="0"/>
      <w:divBdr>
        <w:top w:val="none" w:sz="0" w:space="0" w:color="auto"/>
        <w:left w:val="none" w:sz="0" w:space="0" w:color="auto"/>
        <w:bottom w:val="none" w:sz="0" w:space="0" w:color="auto"/>
        <w:right w:val="none" w:sz="0" w:space="0" w:color="auto"/>
      </w:divBdr>
      <w:divsChild>
        <w:div w:id="700201180">
          <w:marLeft w:val="0"/>
          <w:marRight w:val="0"/>
          <w:marTop w:val="0"/>
          <w:marBottom w:val="0"/>
          <w:divBdr>
            <w:top w:val="none" w:sz="0" w:space="0" w:color="auto"/>
            <w:left w:val="none" w:sz="0" w:space="0" w:color="auto"/>
            <w:bottom w:val="none" w:sz="0" w:space="0" w:color="auto"/>
            <w:right w:val="none" w:sz="0" w:space="0" w:color="auto"/>
          </w:divBdr>
          <w:divsChild>
            <w:div w:id="1324820947">
              <w:marLeft w:val="0"/>
              <w:marRight w:val="0"/>
              <w:marTop w:val="0"/>
              <w:marBottom w:val="0"/>
              <w:divBdr>
                <w:top w:val="none" w:sz="0" w:space="0" w:color="auto"/>
                <w:left w:val="none" w:sz="0" w:space="0" w:color="auto"/>
                <w:bottom w:val="none" w:sz="0" w:space="0" w:color="auto"/>
                <w:right w:val="none" w:sz="0" w:space="0" w:color="auto"/>
              </w:divBdr>
              <w:divsChild>
                <w:div w:id="1748190411">
                  <w:marLeft w:val="0"/>
                  <w:marRight w:val="0"/>
                  <w:marTop w:val="0"/>
                  <w:marBottom w:val="0"/>
                  <w:divBdr>
                    <w:top w:val="none" w:sz="0" w:space="0" w:color="auto"/>
                    <w:left w:val="none" w:sz="0" w:space="0" w:color="auto"/>
                    <w:bottom w:val="none" w:sz="0" w:space="0" w:color="auto"/>
                    <w:right w:val="none" w:sz="0" w:space="0" w:color="auto"/>
                  </w:divBdr>
                  <w:divsChild>
                    <w:div w:id="1768379571">
                      <w:marLeft w:val="0"/>
                      <w:marRight w:val="0"/>
                      <w:marTop w:val="0"/>
                      <w:marBottom w:val="0"/>
                      <w:divBdr>
                        <w:top w:val="none" w:sz="0" w:space="0" w:color="auto"/>
                        <w:left w:val="none" w:sz="0" w:space="0" w:color="auto"/>
                        <w:bottom w:val="none" w:sz="0" w:space="0" w:color="auto"/>
                        <w:right w:val="none" w:sz="0" w:space="0" w:color="auto"/>
                      </w:divBdr>
                      <w:divsChild>
                        <w:div w:id="1533490896">
                          <w:marLeft w:val="0"/>
                          <w:marRight w:val="0"/>
                          <w:marTop w:val="0"/>
                          <w:marBottom w:val="0"/>
                          <w:divBdr>
                            <w:top w:val="none" w:sz="0" w:space="0" w:color="auto"/>
                            <w:left w:val="none" w:sz="0" w:space="0" w:color="auto"/>
                            <w:bottom w:val="none" w:sz="0" w:space="0" w:color="auto"/>
                            <w:right w:val="none" w:sz="0" w:space="0" w:color="auto"/>
                          </w:divBdr>
                          <w:divsChild>
                            <w:div w:id="816074873">
                              <w:marLeft w:val="0"/>
                              <w:marRight w:val="0"/>
                              <w:marTop w:val="0"/>
                              <w:marBottom w:val="0"/>
                              <w:divBdr>
                                <w:top w:val="none" w:sz="0" w:space="0" w:color="auto"/>
                                <w:left w:val="none" w:sz="0" w:space="0" w:color="auto"/>
                                <w:bottom w:val="none" w:sz="0" w:space="0" w:color="auto"/>
                                <w:right w:val="none" w:sz="0" w:space="0" w:color="auto"/>
                              </w:divBdr>
                              <w:divsChild>
                                <w:div w:id="683945415">
                                  <w:marLeft w:val="0"/>
                                  <w:marRight w:val="0"/>
                                  <w:marTop w:val="0"/>
                                  <w:marBottom w:val="0"/>
                                  <w:divBdr>
                                    <w:top w:val="none" w:sz="0" w:space="0" w:color="auto"/>
                                    <w:left w:val="none" w:sz="0" w:space="0" w:color="auto"/>
                                    <w:bottom w:val="none" w:sz="0" w:space="0" w:color="auto"/>
                                    <w:right w:val="none" w:sz="0" w:space="0" w:color="auto"/>
                                  </w:divBdr>
                                  <w:divsChild>
                                    <w:div w:id="89030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4003414">
      <w:bodyDiv w:val="1"/>
      <w:marLeft w:val="0"/>
      <w:marRight w:val="0"/>
      <w:marTop w:val="0"/>
      <w:marBottom w:val="0"/>
      <w:divBdr>
        <w:top w:val="none" w:sz="0" w:space="0" w:color="auto"/>
        <w:left w:val="none" w:sz="0" w:space="0" w:color="auto"/>
        <w:bottom w:val="none" w:sz="0" w:space="0" w:color="auto"/>
        <w:right w:val="none" w:sz="0" w:space="0" w:color="auto"/>
      </w:divBdr>
    </w:div>
    <w:div w:id="1989895588">
      <w:bodyDiv w:val="1"/>
      <w:marLeft w:val="0"/>
      <w:marRight w:val="0"/>
      <w:marTop w:val="0"/>
      <w:marBottom w:val="0"/>
      <w:divBdr>
        <w:top w:val="none" w:sz="0" w:space="0" w:color="auto"/>
        <w:left w:val="none" w:sz="0" w:space="0" w:color="auto"/>
        <w:bottom w:val="none" w:sz="0" w:space="0" w:color="auto"/>
        <w:right w:val="none" w:sz="0" w:space="0" w:color="auto"/>
      </w:divBdr>
    </w:div>
    <w:div w:id="2087217619">
      <w:bodyDiv w:val="1"/>
      <w:marLeft w:val="0"/>
      <w:marRight w:val="0"/>
      <w:marTop w:val="0"/>
      <w:marBottom w:val="0"/>
      <w:divBdr>
        <w:top w:val="none" w:sz="0" w:space="0" w:color="auto"/>
        <w:left w:val="none" w:sz="0" w:space="0" w:color="auto"/>
        <w:bottom w:val="none" w:sz="0" w:space="0" w:color="auto"/>
        <w:right w:val="none" w:sz="0" w:space="0" w:color="auto"/>
      </w:divBdr>
      <w:divsChild>
        <w:div w:id="209073519">
          <w:marLeft w:val="0"/>
          <w:marRight w:val="0"/>
          <w:marTop w:val="0"/>
          <w:marBottom w:val="0"/>
          <w:divBdr>
            <w:top w:val="none" w:sz="0" w:space="0" w:color="auto"/>
            <w:left w:val="none" w:sz="0" w:space="0" w:color="auto"/>
            <w:bottom w:val="none" w:sz="0" w:space="0" w:color="auto"/>
            <w:right w:val="none" w:sz="0" w:space="0" w:color="auto"/>
          </w:divBdr>
          <w:divsChild>
            <w:div w:id="255595101">
              <w:marLeft w:val="0"/>
              <w:marRight w:val="0"/>
              <w:marTop w:val="0"/>
              <w:marBottom w:val="0"/>
              <w:divBdr>
                <w:top w:val="none" w:sz="0" w:space="0" w:color="auto"/>
                <w:left w:val="none" w:sz="0" w:space="0" w:color="auto"/>
                <w:bottom w:val="none" w:sz="0" w:space="0" w:color="auto"/>
                <w:right w:val="none" w:sz="0" w:space="0" w:color="auto"/>
              </w:divBdr>
              <w:divsChild>
                <w:div w:id="440689438">
                  <w:marLeft w:val="0"/>
                  <w:marRight w:val="0"/>
                  <w:marTop w:val="0"/>
                  <w:marBottom w:val="0"/>
                  <w:divBdr>
                    <w:top w:val="none" w:sz="0" w:space="0" w:color="auto"/>
                    <w:left w:val="none" w:sz="0" w:space="0" w:color="auto"/>
                    <w:bottom w:val="none" w:sz="0" w:space="0" w:color="auto"/>
                    <w:right w:val="none" w:sz="0" w:space="0" w:color="auto"/>
                  </w:divBdr>
                  <w:divsChild>
                    <w:div w:id="1209877216">
                      <w:marLeft w:val="0"/>
                      <w:marRight w:val="0"/>
                      <w:marTop w:val="0"/>
                      <w:marBottom w:val="0"/>
                      <w:divBdr>
                        <w:top w:val="none" w:sz="0" w:space="0" w:color="auto"/>
                        <w:left w:val="none" w:sz="0" w:space="0" w:color="auto"/>
                        <w:bottom w:val="none" w:sz="0" w:space="0" w:color="auto"/>
                        <w:right w:val="none" w:sz="0" w:space="0" w:color="auto"/>
                      </w:divBdr>
                      <w:divsChild>
                        <w:div w:id="280235828">
                          <w:marLeft w:val="0"/>
                          <w:marRight w:val="0"/>
                          <w:marTop w:val="0"/>
                          <w:marBottom w:val="0"/>
                          <w:divBdr>
                            <w:top w:val="none" w:sz="0" w:space="0" w:color="auto"/>
                            <w:left w:val="none" w:sz="0" w:space="0" w:color="auto"/>
                            <w:bottom w:val="none" w:sz="0" w:space="0" w:color="auto"/>
                            <w:right w:val="none" w:sz="0" w:space="0" w:color="auto"/>
                          </w:divBdr>
                          <w:divsChild>
                            <w:div w:id="701979348">
                              <w:marLeft w:val="0"/>
                              <w:marRight w:val="0"/>
                              <w:marTop w:val="0"/>
                              <w:marBottom w:val="0"/>
                              <w:divBdr>
                                <w:top w:val="none" w:sz="0" w:space="0" w:color="auto"/>
                                <w:left w:val="none" w:sz="0" w:space="0" w:color="auto"/>
                                <w:bottom w:val="none" w:sz="0" w:space="0" w:color="auto"/>
                                <w:right w:val="none" w:sz="0" w:space="0" w:color="auto"/>
                              </w:divBdr>
                              <w:divsChild>
                                <w:div w:id="1025593504">
                                  <w:marLeft w:val="0"/>
                                  <w:marRight w:val="0"/>
                                  <w:marTop w:val="0"/>
                                  <w:marBottom w:val="0"/>
                                  <w:divBdr>
                                    <w:top w:val="none" w:sz="0" w:space="0" w:color="auto"/>
                                    <w:left w:val="none" w:sz="0" w:space="0" w:color="auto"/>
                                    <w:bottom w:val="none" w:sz="0" w:space="0" w:color="auto"/>
                                    <w:right w:val="none" w:sz="0" w:space="0" w:color="auto"/>
                                  </w:divBdr>
                                  <w:divsChild>
                                    <w:div w:id="178842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887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2B532-4CD2-49F9-97CB-5277B1D6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1763</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10</cp:revision>
  <dcterms:created xsi:type="dcterms:W3CDTF">2017-02-07T01:46:00Z</dcterms:created>
  <dcterms:modified xsi:type="dcterms:W3CDTF">2017-02-07T02:44:00Z</dcterms:modified>
</cp:coreProperties>
</file>